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bookmarkStart w:id="7" w:name="_GoBack"/>
      <w:bookmarkEnd w:id="7"/>
      <w:r>
        <w:rPr>
          <w:rFonts w:ascii="Arial" w:hAnsi="Arial" w:eastAsia="Batang" w:cs="Arial"/>
          <w:b/>
          <w:bCs/>
          <w:sz w:val="28"/>
          <w:szCs w:val="24"/>
          <w:lang w:eastAsia="en-US"/>
        </w:rPr>
        <w:t>3GPP TSG RAN WG1 #1</w:t>
      </w:r>
      <w:r>
        <w:rPr>
          <w:rFonts w:hint="eastAsia" w:ascii="Arial" w:hAnsi="Arial" w:cs="Arial"/>
          <w:b/>
          <w:bCs/>
          <w:sz w:val="28"/>
          <w:szCs w:val="24"/>
          <w:lang w:val="en-US" w:eastAsia="zh-CN"/>
        </w:rPr>
        <w:t>10</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w:t>
      </w:r>
      <w:r>
        <w:rPr>
          <w:rFonts w:ascii="Arial" w:hAnsi="Arial" w:eastAsia="Batang" w:cs="Arial"/>
          <w:b/>
          <w:bCs/>
          <w:sz w:val="28"/>
          <w:szCs w:val="24"/>
          <w:lang w:eastAsia="en-US"/>
        </w:rPr>
        <w:t>R1-2</w:t>
      </w:r>
      <w:r>
        <w:rPr>
          <w:rFonts w:hint="eastAsia" w:ascii="Arial" w:hAnsi="Arial" w:cs="Arial"/>
          <w:b/>
          <w:bCs/>
          <w:sz w:val="28"/>
          <w:szCs w:val="24"/>
          <w:lang w:val="en-US" w:eastAsia="zh-CN"/>
        </w:rPr>
        <w:t>2</w:t>
      </w:r>
      <w:r>
        <w:rPr>
          <w:rFonts w:ascii="Arial" w:hAnsi="Arial" w:eastAsia="Batang" w:cs="Arial"/>
          <w:b/>
          <w:bCs/>
          <w:sz w:val="28"/>
          <w:szCs w:val="24"/>
          <w:lang w:eastAsia="en-US"/>
        </w:rPr>
        <w:t>0</w:t>
      </w:r>
      <w:r>
        <w:rPr>
          <w:rFonts w:hint="eastAsia" w:ascii="Arial" w:hAnsi="Arial" w:cs="Arial"/>
          <w:b/>
          <w:bCs/>
          <w:sz w:val="28"/>
          <w:szCs w:val="24"/>
          <w:lang w:val="en-US" w:eastAsia="zh-CN"/>
        </w:rPr>
        <w:t>6672</w:t>
      </w:r>
    </w:p>
    <w:p>
      <w:pPr>
        <w:tabs>
          <w:tab w:val="center" w:pos="4536"/>
          <w:tab w:val="right" w:pos="9072"/>
        </w:tabs>
        <w:rPr>
          <w:sz w:val="24"/>
          <w:szCs w:val="24"/>
          <w:lang w:eastAsia="zh-CN"/>
        </w:rPr>
      </w:pPr>
      <w:r>
        <w:rPr>
          <w:rFonts w:ascii="Arial" w:hAnsi="Arial" w:eastAsia="MS Mincho" w:cs="Arial"/>
          <w:b/>
          <w:bCs/>
          <w:sz w:val="28"/>
          <w:lang w:eastAsia="ja-JP"/>
        </w:rPr>
        <w:t>Toulouse, France, August 22</w:t>
      </w:r>
      <w:r>
        <w:rPr>
          <w:rFonts w:ascii="Arial" w:hAnsi="Arial" w:eastAsia="MS Mincho" w:cs="Arial"/>
          <w:b/>
          <w:bCs/>
          <w:sz w:val="28"/>
          <w:vertAlign w:val="superscript"/>
          <w:lang w:eastAsia="ja-JP"/>
        </w:rPr>
        <w:t>nd</w:t>
      </w:r>
      <w:r>
        <w:rPr>
          <w:rFonts w:ascii="Arial" w:hAnsi="Arial" w:eastAsia="MS Mincho" w:cs="Arial"/>
          <w:b/>
          <w:bCs/>
          <w:sz w:val="28"/>
          <w:lang w:eastAsia="ja-JP"/>
        </w:rPr>
        <w:t xml:space="preserve"> – 26</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pStyle w:val="17"/>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17"/>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w:t>
      </w:r>
      <w:r>
        <w:rPr>
          <w:rFonts w:hint="eastAsia" w:ascii="Times New Roman" w:hAnsi="Times New Roman"/>
          <w:sz w:val="24"/>
          <w:szCs w:val="24"/>
          <w:lang w:val="en-US" w:eastAsia="zh-CN"/>
        </w:rPr>
        <w:t>s</w:t>
      </w:r>
      <w:r>
        <w:rPr>
          <w:rFonts w:hint="eastAsia" w:ascii="Times New Roman" w:hAnsi="Times New Roman"/>
          <w:sz w:val="24"/>
          <w:szCs w:val="24"/>
          <w:lang w:val="en-US"/>
        </w:rPr>
        <w:t>ion on potential solutions to further reduce UE complexity</w:t>
      </w:r>
    </w:p>
    <w:p>
      <w:pPr>
        <w:pStyle w:val="17"/>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6</w:t>
      </w:r>
      <w:r>
        <w:rPr>
          <w:rFonts w:ascii="Times New Roman" w:hAnsi="Times New Roman"/>
          <w:sz w:val="24"/>
          <w:szCs w:val="24"/>
          <w:lang w:eastAsia="zh-CN"/>
        </w:rPr>
        <w:t>.1</w:t>
      </w:r>
    </w:p>
    <w:p>
      <w:pPr>
        <w:pStyle w:val="17"/>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val="0"/>
        <w:autoSpaceDE w:val="0"/>
        <w:autoSpaceDN w:val="0"/>
        <w:adjustRightInd w:val="0"/>
        <w:spacing w:after="180"/>
        <w:ind w:left="1134" w:hanging="1134"/>
        <w:textAlignment w:val="baseline"/>
        <w:rPr>
          <w:rFonts w:ascii="Arial" w:hAnsi="Arial" w:eastAsia="宋体" w:cs="Times New Roman"/>
          <w:b w:val="0"/>
          <w:bCs w:val="0"/>
          <w:kern w:val="0"/>
          <w:sz w:val="32"/>
          <w:szCs w:val="32"/>
          <w:lang w:val="en-US" w:eastAsia="zh-CN" w:bidi="ar-SA"/>
        </w:rPr>
      </w:pPr>
      <w:bookmarkStart w:id="4" w:name="_Toc120549591"/>
      <w:r>
        <w:rPr>
          <w:rFonts w:ascii="Arial" w:hAnsi="Arial" w:eastAsia="宋体" w:cs="Times New Roman"/>
          <w:b w:val="0"/>
          <w:bCs w:val="0"/>
          <w:kern w:val="0"/>
          <w:sz w:val="32"/>
          <w:szCs w:val="32"/>
          <w:lang w:val="en-US" w:eastAsia="zh-CN" w:bidi="ar-SA"/>
        </w:rPr>
        <w:t>Introduction</w:t>
      </w:r>
      <w:bookmarkEnd w:id="4"/>
    </w:p>
    <w:p>
      <w:pPr>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ja-JP"/>
        </w:rPr>
        <w:t>In RAN</w:t>
      </w:r>
      <w:r>
        <w:rPr>
          <w:rFonts w:hint="eastAsia" w:ascii="Times New Roman" w:hAnsi="Times New Roman" w:cs="Times New Roman"/>
          <w:sz w:val="21"/>
          <w:szCs w:val="22"/>
          <w:lang w:val="en-US" w:eastAsia="zh-CN"/>
        </w:rPr>
        <w:t>1</w:t>
      </w:r>
      <w:r>
        <w:rPr>
          <w:rFonts w:hint="eastAsia" w:ascii="Times New Roman" w:hAnsi="Times New Roman" w:cs="Times New Roman"/>
          <w:sz w:val="21"/>
          <w:szCs w:val="22"/>
          <w:lang w:val="en-US" w:eastAsia="ja-JP"/>
        </w:rPr>
        <w:t>#</w:t>
      </w:r>
      <w:r>
        <w:rPr>
          <w:rFonts w:hint="eastAsia" w:ascii="Times New Roman" w:hAnsi="Times New Roman" w:cs="Times New Roman"/>
          <w:sz w:val="21"/>
          <w:szCs w:val="22"/>
          <w:lang w:val="en-US" w:eastAsia="zh-CN"/>
        </w:rPr>
        <w:t>109e</w:t>
      </w:r>
      <w:r>
        <w:rPr>
          <w:rFonts w:hint="eastAsia" w:ascii="Times New Roman" w:hAnsi="Times New Roman" w:cs="Times New Roman"/>
          <w:sz w:val="21"/>
          <w:szCs w:val="22"/>
          <w:lang w:val="en-US" w:eastAsia="ja-JP"/>
        </w:rPr>
        <w:t xml:space="preserve"> [1]</w:t>
      </w:r>
      <w:r>
        <w:rPr>
          <w:rFonts w:hint="eastAsia" w:ascii="Times New Roman" w:hAnsi="Times New Roman" w:cs="Times New Roman"/>
          <w:sz w:val="21"/>
          <w:szCs w:val="22"/>
          <w:lang w:val="en-US" w:eastAsia="zh-CN"/>
        </w:rPr>
        <w:t xml:space="preserve">, the </w:t>
      </w:r>
      <w:r>
        <w:rPr>
          <w:rFonts w:hint="default" w:ascii="Times New Roman" w:hAnsi="Times New Roman" w:cs="Times New Roman"/>
          <w:sz w:val="21"/>
          <w:szCs w:val="22"/>
          <w:lang w:val="en-US" w:eastAsia="ja-JP"/>
        </w:rPr>
        <w:t>following</w:t>
      </w:r>
      <w:r>
        <w:rPr>
          <w:rFonts w:hint="eastAsia" w:ascii="Times New Roman" w:hAnsi="Times New Roman" w:cs="Times New Roman"/>
          <w:sz w:val="21"/>
          <w:szCs w:val="22"/>
          <w:lang w:val="en-US" w:eastAsia="zh-CN"/>
        </w:rPr>
        <w:t xml:space="preserve"> </w:t>
      </w:r>
      <w:r>
        <w:rPr>
          <w:rFonts w:hint="default" w:ascii="Times New Roman" w:hAnsi="Times New Roman" w:cs="Times New Roman"/>
          <w:sz w:val="21"/>
          <w:szCs w:val="22"/>
          <w:lang w:val="en-US" w:eastAsia="ja-JP"/>
        </w:rPr>
        <w:t xml:space="preserve">agreements related to </w:t>
      </w:r>
      <w:r>
        <w:rPr>
          <w:rFonts w:hint="eastAsia" w:ascii="Times New Roman" w:hAnsi="Times New Roman" w:cs="Times New Roman"/>
          <w:sz w:val="21"/>
          <w:szCs w:val="22"/>
          <w:lang w:val="en-US" w:eastAsia="ja-JP"/>
        </w:rPr>
        <w:t>further reduce UE complexity</w:t>
      </w:r>
      <w:r>
        <w:rPr>
          <w:rFonts w:hint="default" w:ascii="Times New Roman" w:hAnsi="Times New Roman" w:cs="Times New Roman"/>
          <w:sz w:val="21"/>
          <w:szCs w:val="22"/>
          <w:lang w:val="en-US" w:eastAsia="ja-JP"/>
        </w:rPr>
        <w:t xml:space="preserve"> have been reached</w:t>
      </w:r>
      <w:r>
        <w:rPr>
          <w:rFonts w:hint="eastAsia" w:ascii="Times New Roman" w:hAnsi="Times New Roman" w:cs="Times New Roman"/>
          <w:sz w:val="21"/>
          <w:szCs w:val="22"/>
          <w:lang w:val="en-US" w:eastAsia="zh-CN"/>
        </w:rPr>
        <w:t>.</w:t>
      </w:r>
    </w:p>
    <w:tbl>
      <w:tblPr>
        <w:tblStyle w:val="1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shd w:val="clear" w:color="auto" w:fill="FFFFFF"/>
              <w:overflowPunct w:val="0"/>
              <w:autoSpaceDE w:val="0"/>
              <w:autoSpaceDN w:val="0"/>
              <w:adjustRightInd w:val="0"/>
              <w:spacing w:line="231" w:lineRule="atLeast"/>
              <w:jc w:val="both"/>
              <w:textAlignment w:val="baseline"/>
              <w:rPr>
                <w:rFonts w:ascii="Times New Roman" w:hAnsi="Times New Roman" w:eastAsia="宋体"/>
                <w:szCs w:val="20"/>
                <w:highlight w:val="green"/>
                <w:lang w:val="en-US" w:eastAsia="zh-CN"/>
              </w:rPr>
            </w:pPr>
            <w:r>
              <w:rPr>
                <w:rFonts w:ascii="Times New Roman" w:hAnsi="Times New Roman" w:eastAsia="宋体"/>
                <w:szCs w:val="20"/>
                <w:highlight w:val="green"/>
                <w:shd w:val="clear" w:color="auto" w:fill="FFFF00"/>
                <w:lang w:val="en-US" w:eastAsia="zh-CN"/>
              </w:rPr>
              <w:t>Agreement</w:t>
            </w:r>
          </w:p>
          <w:p>
            <w:pPr>
              <w:numPr>
                <w:ilvl w:val="0"/>
                <w:numId w:val="2"/>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following options for further UE bandwidth reduction can be studied:</w:t>
            </w:r>
          </w:p>
          <w:p>
            <w:pPr>
              <w:numPr>
                <w:ilvl w:val="1"/>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Option BW1: Both RF and BB bandwidths are 5 MHz for UL and DL.</w:t>
            </w:r>
          </w:p>
          <w:p>
            <w:pPr>
              <w:numPr>
                <w:ilvl w:val="1"/>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pPr>
              <w:numPr>
                <w:ilvl w:val="0"/>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In addition, optional results for the following option can also be reported:</w:t>
            </w:r>
          </w:p>
          <w:p>
            <w:pPr>
              <w:numPr>
                <w:ilvl w:val="1"/>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Option BW2: 5 MHz BB bandwidth for all signals and channels with 20 MHz RF bandwidth for UL and DL.</w:t>
            </w:r>
          </w:p>
          <w:p>
            <w:pPr>
              <w:numPr>
                <w:ilvl w:val="0"/>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At least the following cases are studied:</w:t>
            </w:r>
          </w:p>
          <w:p>
            <w:pPr>
              <w:numPr>
                <w:ilvl w:val="1"/>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resource allocation spans a bandwidth of maximum 5 MHz.</w:t>
            </w:r>
          </w:p>
          <w:p>
            <w:pPr>
              <w:numPr>
                <w:ilvl w:val="1"/>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same option is used for UL and DL.</w:t>
            </w:r>
          </w:p>
          <w:p>
            <w:pPr>
              <w:numPr>
                <w:ilvl w:val="1"/>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same option is used for idle/inactive and connected mode.</w:t>
            </w:r>
          </w:p>
          <w:p>
            <w:pPr>
              <w:numPr>
                <w:ilvl w:val="1"/>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It is FFS whether to study other cases.</w:t>
            </w:r>
          </w:p>
          <w:p>
            <w:pPr>
              <w:numPr>
                <w:ilvl w:val="0"/>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Note: As part of study of above options, it is not precluded to indicate that an observation is relevant for UL only or DL only.</w:t>
            </w:r>
          </w:p>
          <w:p>
            <w:pPr>
              <w:overflowPunct w:val="0"/>
              <w:autoSpaceDE w:val="0"/>
              <w:autoSpaceDN w:val="0"/>
              <w:adjustRightInd w:val="0"/>
              <w:textAlignment w:val="baseline"/>
              <w:rPr>
                <w:rFonts w:ascii="Times New Roman" w:hAnsi="Times New Roman"/>
                <w:szCs w:val="20"/>
                <w:highlight w:val="green"/>
                <w:lang w:val="en-US" w:eastAsia="zh-CN"/>
              </w:rPr>
            </w:pPr>
            <w:r>
              <w:rPr>
                <w:rFonts w:ascii="Times New Roman" w:hAnsi="Times New Roman"/>
                <w:szCs w:val="20"/>
                <w:highlight w:val="green"/>
                <w:shd w:val="clear" w:color="auto" w:fill="FFFF00"/>
                <w:lang w:val="en-US" w:eastAsia="zh-CN"/>
              </w:rPr>
              <w:t>Agreement</w:t>
            </w:r>
          </w:p>
          <w:p>
            <w:pPr>
              <w:pStyle w:val="18"/>
              <w:numPr>
                <w:ilvl w:val="0"/>
                <w:numId w:val="4"/>
              </w:numPr>
              <w:overflowPunct w:val="0"/>
              <w:autoSpaceDE w:val="0"/>
              <w:autoSpaceDN w:val="0"/>
              <w:adjustRightInd w:val="0"/>
              <w:textAlignment w:val="baseline"/>
              <w:rPr>
                <w:lang w:val="en-US" w:eastAsia="zh-CN"/>
              </w:rPr>
            </w:pPr>
            <w:r>
              <w:rPr>
                <w:lang w:val="en-US" w:eastAsia="zh-CN"/>
              </w:rPr>
              <w:t>For Options BW1,</w:t>
            </w:r>
          </w:p>
          <w:p>
            <w:pPr>
              <w:pStyle w:val="18"/>
              <w:numPr>
                <w:ilvl w:val="1"/>
                <w:numId w:val="4"/>
              </w:numPr>
              <w:overflowPunct w:val="0"/>
              <w:autoSpaceDE w:val="0"/>
              <w:autoSpaceDN w:val="0"/>
              <w:adjustRightInd w:val="0"/>
              <w:textAlignment w:val="baseline"/>
              <w:rPr>
                <w:lang w:val="en-US" w:eastAsia="zh-CN"/>
              </w:rPr>
            </w:pPr>
            <w:r>
              <w:rPr>
                <w:lang w:val="en-US" w:eastAsia="zh-CN"/>
              </w:rPr>
              <w:t>For 15 kHz SCS, 25 contiguous RBs are assumed to fit within the 5 MHz.</w:t>
            </w:r>
          </w:p>
          <w:p>
            <w:pPr>
              <w:pStyle w:val="18"/>
              <w:numPr>
                <w:ilvl w:val="1"/>
                <w:numId w:val="4"/>
              </w:numPr>
              <w:overflowPunct w:val="0"/>
              <w:autoSpaceDE w:val="0"/>
              <w:autoSpaceDN w:val="0"/>
              <w:adjustRightInd w:val="0"/>
              <w:textAlignment w:val="baseline"/>
              <w:rPr>
                <w:lang w:val="en-US" w:eastAsia="zh-CN"/>
              </w:rPr>
            </w:pPr>
            <w:r>
              <w:rPr>
                <w:lang w:val="en-US" w:eastAsia="zh-CN"/>
              </w:rPr>
              <w:t>For 30 kHz SCS, 11 contiguous RBs are assumed to fit within the 5 MHz.</w:t>
            </w:r>
          </w:p>
          <w:p>
            <w:pPr>
              <w:pStyle w:val="18"/>
              <w:numPr>
                <w:ilvl w:val="1"/>
                <w:numId w:val="4"/>
              </w:numPr>
              <w:overflowPunct w:val="0"/>
              <w:autoSpaceDE w:val="0"/>
              <w:autoSpaceDN w:val="0"/>
              <w:adjustRightInd w:val="0"/>
              <w:textAlignment w:val="baseline"/>
              <w:rPr>
                <w:lang w:val="en-US" w:eastAsia="zh-CN"/>
              </w:rPr>
            </w:pPr>
            <w:r>
              <w:rPr>
                <w:lang w:val="en-US" w:eastAsia="zh-CN"/>
              </w:rPr>
              <w:t>Larger number of RBs that fit within 5 MHz can optionally be studied.</w:t>
            </w:r>
          </w:p>
          <w:p>
            <w:pPr>
              <w:pStyle w:val="18"/>
              <w:numPr>
                <w:ilvl w:val="0"/>
                <w:numId w:val="4"/>
              </w:numPr>
              <w:overflowPunct w:val="0"/>
              <w:autoSpaceDE w:val="0"/>
              <w:autoSpaceDN w:val="0"/>
              <w:adjustRightInd w:val="0"/>
              <w:textAlignment w:val="baseline"/>
              <w:rPr>
                <w:lang w:val="en-US" w:eastAsia="zh-CN"/>
              </w:rPr>
            </w:pPr>
            <w:r>
              <w:rPr>
                <w:lang w:val="en-US" w:eastAsia="zh-CN"/>
              </w:rPr>
              <w:t>For Options BW2,</w:t>
            </w:r>
          </w:p>
          <w:p>
            <w:pPr>
              <w:pStyle w:val="18"/>
              <w:numPr>
                <w:ilvl w:val="1"/>
                <w:numId w:val="4"/>
              </w:numPr>
              <w:overflowPunct w:val="0"/>
              <w:autoSpaceDE w:val="0"/>
              <w:autoSpaceDN w:val="0"/>
              <w:adjustRightInd w:val="0"/>
              <w:textAlignment w:val="baseline"/>
              <w:rPr>
                <w:lang w:val="en-US" w:eastAsia="zh-CN"/>
              </w:rPr>
            </w:pPr>
            <w:r>
              <w:rPr>
                <w:lang w:val="en-US" w:eastAsia="zh-CN"/>
              </w:rPr>
              <w:t>For 15 kHz SCS, 25 contiguous RBs are assumed to fit within the 5 MHz.</w:t>
            </w:r>
          </w:p>
          <w:p>
            <w:pPr>
              <w:pStyle w:val="18"/>
              <w:numPr>
                <w:ilvl w:val="1"/>
                <w:numId w:val="4"/>
              </w:numPr>
              <w:overflowPunct w:val="0"/>
              <w:autoSpaceDE w:val="0"/>
              <w:autoSpaceDN w:val="0"/>
              <w:adjustRightInd w:val="0"/>
              <w:textAlignment w:val="baseline"/>
              <w:rPr>
                <w:lang w:val="en-US" w:eastAsia="zh-CN"/>
              </w:rPr>
            </w:pPr>
            <w:r>
              <w:rPr>
                <w:lang w:val="en-US" w:eastAsia="zh-CN"/>
              </w:rPr>
              <w:t>For 30 kHz SCS, 11 contiguous RBs are assumed to fit within the 5 MHz.</w:t>
            </w:r>
          </w:p>
          <w:p>
            <w:pPr>
              <w:pStyle w:val="18"/>
              <w:numPr>
                <w:ilvl w:val="1"/>
                <w:numId w:val="4"/>
              </w:numPr>
              <w:overflowPunct w:val="0"/>
              <w:autoSpaceDE w:val="0"/>
              <w:autoSpaceDN w:val="0"/>
              <w:adjustRightInd w:val="0"/>
              <w:textAlignment w:val="baseline"/>
              <w:rPr>
                <w:lang w:val="en-US" w:eastAsia="zh-CN"/>
              </w:rPr>
            </w:pPr>
            <w:r>
              <w:rPr>
                <w:lang w:val="en-US" w:eastAsia="zh-CN"/>
              </w:rPr>
              <w:t>Larger number of RBs that fit within 5 MHz can optionally be studied.</w:t>
            </w:r>
          </w:p>
          <w:p>
            <w:pPr>
              <w:pStyle w:val="18"/>
              <w:numPr>
                <w:ilvl w:val="0"/>
                <w:numId w:val="4"/>
              </w:numPr>
              <w:overflowPunct w:val="0"/>
              <w:autoSpaceDE w:val="0"/>
              <w:autoSpaceDN w:val="0"/>
              <w:adjustRightInd w:val="0"/>
              <w:textAlignment w:val="baseline"/>
              <w:rPr>
                <w:lang w:val="en-US" w:eastAsia="zh-CN"/>
              </w:rPr>
            </w:pPr>
            <w:r>
              <w:rPr>
                <w:lang w:val="en-US" w:eastAsia="zh-CN"/>
              </w:rPr>
              <w:t>For Options BW3,</w:t>
            </w:r>
          </w:p>
          <w:p>
            <w:pPr>
              <w:pStyle w:val="18"/>
              <w:numPr>
                <w:ilvl w:val="1"/>
                <w:numId w:val="4"/>
              </w:numPr>
              <w:overflowPunct w:val="0"/>
              <w:autoSpaceDE w:val="0"/>
              <w:autoSpaceDN w:val="0"/>
              <w:adjustRightInd w:val="0"/>
              <w:textAlignment w:val="baseline"/>
              <w:rPr>
                <w:lang w:val="en-US" w:eastAsia="zh-CN"/>
              </w:rPr>
            </w:pPr>
            <w:r>
              <w:rPr>
                <w:lang w:val="en-US" w:eastAsia="zh-CN"/>
              </w:rPr>
              <w:t>For 15 kHz SCS, 25 contiguous RBs are assumed to fit within the 5 MHz.</w:t>
            </w:r>
          </w:p>
          <w:p>
            <w:pPr>
              <w:pStyle w:val="18"/>
              <w:numPr>
                <w:ilvl w:val="1"/>
                <w:numId w:val="4"/>
              </w:numPr>
              <w:overflowPunct w:val="0"/>
              <w:autoSpaceDE w:val="0"/>
              <w:autoSpaceDN w:val="0"/>
              <w:adjustRightInd w:val="0"/>
              <w:textAlignment w:val="baseline"/>
              <w:rPr>
                <w:lang w:val="en-US" w:eastAsia="zh-CN"/>
              </w:rPr>
            </w:pPr>
            <w:r>
              <w:rPr>
                <w:lang w:val="en-US" w:eastAsia="zh-CN"/>
              </w:rPr>
              <w:t>For 30 kHz SCS, 11 contiguous RBs are assumed to fit within the 5 MHz.</w:t>
            </w:r>
          </w:p>
          <w:p>
            <w:pPr>
              <w:pStyle w:val="18"/>
              <w:numPr>
                <w:ilvl w:val="1"/>
                <w:numId w:val="4"/>
              </w:numPr>
              <w:overflowPunct w:val="0"/>
              <w:autoSpaceDE w:val="0"/>
              <w:autoSpaceDN w:val="0"/>
              <w:adjustRightInd w:val="0"/>
              <w:textAlignment w:val="baseline"/>
              <w:rPr>
                <w:lang w:val="en-US" w:eastAsia="zh-CN"/>
              </w:rPr>
            </w:pPr>
            <w:r>
              <w:rPr>
                <w:lang w:val="en-US" w:eastAsia="zh-CN"/>
              </w:rPr>
              <w:t>Larger number of RBs that fit within 5 MHz can optionally be studied.</w:t>
            </w:r>
          </w:p>
          <w:p>
            <w:pPr>
              <w:overflowPunct w:val="0"/>
              <w:autoSpaceDE w:val="0"/>
              <w:autoSpaceDN w:val="0"/>
              <w:adjustRightInd w:val="0"/>
              <w:spacing w:line="231" w:lineRule="atLeast"/>
              <w:textAlignment w:val="baseline"/>
              <w:rPr>
                <w:lang w:val="en-US" w:eastAsia="zh-CN"/>
              </w:rPr>
            </w:pPr>
            <w:r>
              <w:rPr>
                <w:lang w:val="en-US" w:eastAsia="zh-CN"/>
              </w:rPr>
              <w:t>Relevant assumptions (e.g., regarding potential scheduling restrictions) should be reported.</w:t>
            </w:r>
          </w:p>
          <w:p>
            <w:pPr>
              <w:shd w:val="clear" w:color="auto" w:fill="FFFFFF"/>
              <w:overflowPunct w:val="0"/>
              <w:autoSpaceDE w:val="0"/>
              <w:autoSpaceDN w:val="0"/>
              <w:adjustRightInd w:val="0"/>
              <w:spacing w:line="231" w:lineRule="atLeast"/>
              <w:jc w:val="both"/>
              <w:textAlignment w:val="baseline"/>
              <w:rPr>
                <w:rFonts w:ascii="Times New Roman" w:hAnsi="Times New Roman" w:eastAsia="宋体"/>
                <w:szCs w:val="20"/>
                <w:highlight w:val="green"/>
                <w:lang w:val="en-US" w:eastAsia="zh-CN"/>
              </w:rPr>
            </w:pPr>
            <w:r>
              <w:rPr>
                <w:rFonts w:ascii="Times New Roman" w:hAnsi="Times New Roman" w:eastAsia="宋体"/>
                <w:szCs w:val="20"/>
                <w:highlight w:val="green"/>
                <w:shd w:val="clear" w:color="auto" w:fill="FFFF00"/>
                <w:lang w:val="en-US" w:eastAsia="zh-CN"/>
              </w:rPr>
              <w:t>Agreement</w:t>
            </w:r>
          </w:p>
          <w:p>
            <w:pPr>
              <w:numPr>
                <w:ilvl w:val="0"/>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following options for further UE peak rate reduction can be studied:</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Option PR1: Relaxation of the constraint  </w:t>
            </w:r>
            <m:oMath>
              <m:r>
                <w:rPr>
                  <w:rFonts w:ascii="Cambria Math" w:hAnsi="Cambria Math"/>
                  <w:szCs w:val="20"/>
                  <w:lang w:val="en-US"/>
                </w:rPr>
                <m:t>(</m:t>
              </m:r>
              <m:sSubSup>
                <m:sSubSupPr>
                  <m:ctrlPr>
                    <w:rPr>
                      <w:rFonts w:ascii="Cambria Math" w:hAnsi="Cambria Math"/>
                      <w:i/>
                      <w:iCs/>
                      <w:szCs w:val="20"/>
                    </w:rPr>
                  </m:ctrlPr>
                </m:sSubSupPr>
                <m:e>
                  <m:r>
                    <w:rPr>
                      <w:rFonts w:ascii="Cambria Math" w:hAnsi="Cambria Math"/>
                      <w:szCs w:val="20"/>
                    </w:rPr>
                    <m:t>v</m:t>
                  </m:r>
                  <m:ctrlPr>
                    <w:rPr>
                      <w:rFonts w:ascii="Cambria Math" w:hAnsi="Cambria Math"/>
                      <w:i/>
                      <w:iCs/>
                      <w:szCs w:val="20"/>
                    </w:rPr>
                  </m:ctrlPr>
                </m:e>
                <m:sub>
                  <m:r>
                    <w:rPr>
                      <w:rFonts w:ascii="Cambria Math" w:hAnsi="Cambria Math"/>
                      <w:szCs w:val="20"/>
                    </w:rPr>
                    <m:t>Layers</m:t>
                  </m:r>
                  <m:ctrlPr>
                    <w:rPr>
                      <w:rFonts w:ascii="Cambria Math" w:hAnsi="Cambria Math"/>
                      <w:i/>
                      <w:iCs/>
                      <w:szCs w:val="20"/>
                    </w:rPr>
                  </m:ctrlPr>
                </m:sub>
                <m:sup>
                  <m:d>
                    <m:dPr>
                      <m:ctrlPr>
                        <w:rPr>
                          <w:rFonts w:ascii="Cambria Math" w:hAnsi="Cambria Math"/>
                          <w:i/>
                          <w:szCs w:val="20"/>
                        </w:rPr>
                      </m:ctrlPr>
                    </m:dPr>
                    <m:e>
                      <m:r>
                        <w:rPr>
                          <w:rFonts w:ascii="Cambria Math" w:hAnsi="Cambria Math"/>
                          <w:szCs w:val="20"/>
                        </w:rPr>
                        <m:t>j</m:t>
                      </m:r>
                      <m:ctrlPr>
                        <w:rPr>
                          <w:rFonts w:ascii="Cambria Math" w:hAnsi="Cambria Math"/>
                          <w:i/>
                          <w:szCs w:val="20"/>
                        </w:rPr>
                      </m:ctrlPr>
                    </m:e>
                  </m:d>
                  <m:ctrlPr>
                    <w:rPr>
                      <w:rFonts w:ascii="Cambria Math" w:hAnsi="Cambria Math"/>
                      <w:i/>
                      <w:iCs/>
                      <w:szCs w:val="20"/>
                    </w:rPr>
                  </m:ctrlPr>
                </m:sup>
              </m:sSubSup>
              <m:r>
                <w:rPr>
                  <w:rFonts w:ascii="Cambria Math" w:hAnsi="Cambria Math"/>
                  <w:szCs w:val="20"/>
                  <w:lang w:val="en-US"/>
                </w:rPr>
                <m:t>⋅</m:t>
              </m:r>
              <m:sSubSup>
                <m:sSubSupPr>
                  <m:ctrlPr>
                    <w:rPr>
                      <w:rFonts w:ascii="Cambria Math" w:hAnsi="Cambria Math"/>
                      <w:i/>
                      <w:iCs/>
                      <w:szCs w:val="20"/>
                    </w:rPr>
                  </m:ctrlPr>
                </m:sSubSupPr>
                <m:e>
                  <m:r>
                    <w:rPr>
                      <w:rFonts w:ascii="Cambria Math" w:hAnsi="Cambria Math"/>
                      <w:szCs w:val="20"/>
                    </w:rPr>
                    <m:t>Q</m:t>
                  </m:r>
                  <m:ctrlPr>
                    <w:rPr>
                      <w:rFonts w:ascii="Cambria Math" w:hAnsi="Cambria Math"/>
                      <w:i/>
                      <w:iCs/>
                      <w:szCs w:val="20"/>
                    </w:rPr>
                  </m:ctrlPr>
                </m:e>
                <m:sub>
                  <m:r>
                    <w:rPr>
                      <w:rFonts w:ascii="Cambria Math" w:hAnsi="Cambria Math"/>
                      <w:szCs w:val="20"/>
                    </w:rPr>
                    <m:t>m</m:t>
                  </m:r>
                  <m:ctrlPr>
                    <w:rPr>
                      <w:rFonts w:ascii="Cambria Math" w:hAnsi="Cambria Math"/>
                      <w:i/>
                      <w:iCs/>
                      <w:szCs w:val="20"/>
                    </w:rPr>
                  </m:ctrlPr>
                </m:sub>
                <m:sup>
                  <m:d>
                    <m:dPr>
                      <m:ctrlPr>
                        <w:rPr>
                          <w:rFonts w:ascii="Cambria Math" w:hAnsi="Cambria Math"/>
                          <w:i/>
                          <w:iCs/>
                          <w:szCs w:val="20"/>
                        </w:rPr>
                      </m:ctrlPr>
                    </m:dPr>
                    <m:e>
                      <m:r>
                        <w:rPr>
                          <w:rFonts w:ascii="Cambria Math" w:hAnsi="Cambria Math"/>
                          <w:szCs w:val="20"/>
                        </w:rPr>
                        <m:t>j</m:t>
                      </m:r>
                      <m:ctrlPr>
                        <w:rPr>
                          <w:rFonts w:ascii="Cambria Math" w:hAnsi="Cambria Math"/>
                          <w:i/>
                          <w:iCs/>
                          <w:szCs w:val="20"/>
                        </w:rPr>
                      </m:ctrlPr>
                    </m:e>
                  </m:d>
                  <m:ctrlPr>
                    <w:rPr>
                      <w:rFonts w:ascii="Cambria Math" w:hAnsi="Cambria Math"/>
                      <w:i/>
                      <w:iCs/>
                      <w:szCs w:val="20"/>
                    </w:rPr>
                  </m:ctrlPr>
                </m:sup>
              </m:sSubSup>
              <m:r>
                <w:rPr>
                  <w:rFonts w:ascii="Cambria Math" w:hAnsi="Cambria Math"/>
                  <w:szCs w:val="20"/>
                  <w:lang w:val="en-US"/>
                </w:rPr>
                <m:t>⋅</m:t>
              </m:r>
              <m:sSup>
                <m:sSupPr>
                  <m:ctrlPr>
                    <w:rPr>
                      <w:rFonts w:ascii="Cambria Math" w:hAnsi="Cambria Math"/>
                      <w:iCs/>
                      <w:szCs w:val="20"/>
                    </w:rPr>
                  </m:ctrlPr>
                </m:sSupPr>
                <m:e>
                  <m:r>
                    <w:rPr>
                      <w:rFonts w:ascii="Cambria Math" w:hAnsi="Cambria Math"/>
                      <w:szCs w:val="20"/>
                    </w:rPr>
                    <m:t>f</m:t>
                  </m:r>
                  <m:ctrlPr>
                    <w:rPr>
                      <w:rFonts w:ascii="Cambria Math" w:hAnsi="Cambria Math"/>
                      <w:iCs/>
                      <w:szCs w:val="20"/>
                    </w:rPr>
                  </m:ctrlPr>
                </m:e>
                <m:sup>
                  <m:d>
                    <m:dPr>
                      <m:ctrlPr>
                        <w:rPr>
                          <w:rFonts w:ascii="Cambria Math" w:hAnsi="Cambria Math"/>
                          <w:i/>
                          <w:iCs/>
                          <w:szCs w:val="20"/>
                        </w:rPr>
                      </m:ctrlPr>
                    </m:dPr>
                    <m:e>
                      <m:r>
                        <w:rPr>
                          <w:rFonts w:ascii="Cambria Math" w:hAnsi="Cambria Math"/>
                          <w:szCs w:val="20"/>
                        </w:rPr>
                        <m:t>j</m:t>
                      </m:r>
                      <m:ctrlPr>
                        <w:rPr>
                          <w:rFonts w:ascii="Cambria Math" w:hAnsi="Cambria Math"/>
                          <w:i/>
                          <w:iCs/>
                          <w:szCs w:val="20"/>
                        </w:rPr>
                      </m:ctrlPr>
                    </m:e>
                  </m:d>
                  <m:ctrlPr>
                    <w:rPr>
                      <w:rFonts w:ascii="Cambria Math" w:hAnsi="Cambria Math"/>
                      <w:iCs/>
                      <w:szCs w:val="20"/>
                    </w:rPr>
                  </m:ctrlPr>
                </m:sup>
              </m:sSup>
              <m:r>
                <w:rPr>
                  <w:rFonts w:ascii="Cambria Math" w:hAnsi="Cambria Math"/>
                  <w:szCs w:val="20"/>
                  <w:lang w:val="en-US"/>
                </w:rPr>
                <m:t>≥4)</m:t>
              </m:r>
            </m:oMath>
            <w:r>
              <w:rPr>
                <w:rFonts w:ascii="Times New Roman" w:hAnsi="Times New Roman"/>
                <w:iCs/>
                <w:szCs w:val="20"/>
                <w:lang w:val="en-US"/>
              </w:rPr>
              <w:t xml:space="preserve"> </w:t>
            </w:r>
            <w:r>
              <w:rPr>
                <w:rFonts w:ascii="Times New Roman" w:hAnsi="Times New Roman" w:eastAsia="Microsoft YaHei UI"/>
                <w:szCs w:val="20"/>
                <w:lang w:val="en-US" w:eastAsia="zh-CN"/>
              </w:rPr>
              <w:t>for peak data rate reduction.</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Option PR2: Restriction of maximum TBS for PDSCH and PUSCH.</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Option PR3: Restriction of maximum number of PRBs for PDSCH and PUSCH.</w:t>
            </w:r>
          </w:p>
          <w:p>
            <w:pPr>
              <w:numPr>
                <w:ilvl w:val="0"/>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At least the following cases are studied:</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studied peak rate reduction applies to both UE-specific (unicast) and common (broadcast) channels.</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resource allocation spans a bandwidth of maximum 20 MHz (maximum UE channel bandwidth).</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same option is used for UL and DL.</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same option is used for idle/inactive and connected mode.</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It is FFS whether to study other cases.</w:t>
            </w:r>
          </w:p>
          <w:p>
            <w:pPr>
              <w:overflowPunct w:val="0"/>
              <w:autoSpaceDE w:val="0"/>
              <w:autoSpaceDN w:val="0"/>
              <w:adjustRightInd w:val="0"/>
              <w:spacing w:line="231" w:lineRule="atLeast"/>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Note: As part of study of above options, it is not precluded to indicate that an observation is relevant for UL only or DL only.</w:t>
            </w:r>
          </w:p>
          <w:p>
            <w:pPr>
              <w:overflowPunct w:val="0"/>
              <w:autoSpaceDE w:val="0"/>
              <w:autoSpaceDN w:val="0"/>
              <w:adjustRightInd w:val="0"/>
              <w:textAlignment w:val="baseline"/>
              <w:rPr>
                <w:rFonts w:ascii="Times New Roman" w:hAnsi="Times New Roman"/>
                <w:szCs w:val="20"/>
                <w:highlight w:val="green"/>
                <w:lang w:val="en-US" w:eastAsia="zh-CN"/>
              </w:rPr>
            </w:pPr>
            <w:r>
              <w:rPr>
                <w:rFonts w:ascii="Times New Roman" w:hAnsi="Times New Roman"/>
                <w:szCs w:val="20"/>
                <w:highlight w:val="green"/>
                <w:shd w:val="clear" w:color="auto" w:fill="FFFF00"/>
                <w:lang w:val="en-US" w:eastAsia="zh-CN"/>
              </w:rPr>
              <w:t>Agreement</w:t>
            </w:r>
          </w:p>
          <w:p>
            <w:pPr>
              <w:pStyle w:val="18"/>
              <w:numPr>
                <w:ilvl w:val="0"/>
                <w:numId w:val="6"/>
              </w:numPr>
              <w:overflowPunct w:val="0"/>
              <w:autoSpaceDE w:val="0"/>
              <w:autoSpaceDN w:val="0"/>
              <w:adjustRightInd w:val="0"/>
              <w:textAlignment w:val="baseline"/>
              <w:rPr>
                <w:lang w:val="en-US" w:eastAsia="zh-CN"/>
              </w:rPr>
            </w:pPr>
            <w:r>
              <w:rPr>
                <w:lang w:val="en-US" w:eastAsia="zh-CN"/>
              </w:rPr>
              <w:t>For Option PR1,</w:t>
            </w:r>
          </w:p>
          <w:p>
            <w:pPr>
              <w:pStyle w:val="18"/>
              <w:numPr>
                <w:ilvl w:val="1"/>
                <w:numId w:val="6"/>
              </w:numPr>
              <w:overflowPunct w:val="0"/>
              <w:autoSpaceDE w:val="0"/>
              <w:autoSpaceDN w:val="0"/>
              <w:adjustRightInd w:val="0"/>
              <w:textAlignment w:val="baseline"/>
              <w:rPr>
                <w:lang w:val="en-US" w:eastAsia="zh-CN"/>
              </w:rPr>
            </w:pPr>
            <w:r>
              <w:rPr>
                <w:lang w:val="en-US" w:eastAsia="zh-CN"/>
              </w:rPr>
              <w:t>The relaxed constraint is 1 (instead of 4).</w:t>
            </w:r>
          </w:p>
          <w:p>
            <w:pPr>
              <w:pStyle w:val="18"/>
              <w:numPr>
                <w:ilvl w:val="1"/>
                <w:numId w:val="6"/>
              </w:numPr>
              <w:overflowPunct w:val="0"/>
              <w:autoSpaceDE w:val="0"/>
              <w:autoSpaceDN w:val="0"/>
              <w:adjustRightInd w:val="0"/>
              <w:textAlignment w:val="baseline"/>
              <w:rPr>
                <w:lang w:val="en-US" w:eastAsia="zh-CN"/>
              </w:rPr>
            </w:pPr>
            <w:r>
              <w:rPr>
                <w:lang w:val="en-US" w:eastAsia="zh-CN"/>
              </w:rPr>
              <w:t>Other values for the relaxed constraint that meet the 10-Mbps peak rate target can optionally be studied.</w:t>
            </w:r>
          </w:p>
          <w:p>
            <w:pPr>
              <w:pStyle w:val="18"/>
              <w:numPr>
                <w:ilvl w:val="1"/>
                <w:numId w:val="6"/>
              </w:numPr>
              <w:overflowPunct w:val="0"/>
              <w:autoSpaceDE w:val="0"/>
              <w:autoSpaceDN w:val="0"/>
              <w:adjustRightInd w:val="0"/>
              <w:textAlignment w:val="baseline"/>
              <w:rPr>
                <w:lang w:val="en-US" w:eastAsia="zh-CN"/>
              </w:rPr>
            </w:pPr>
            <w:r>
              <w:rPr>
                <w:lang w:val="en-US" w:eastAsia="zh-CN"/>
              </w:rPr>
              <w:t>The parameters (</w:t>
            </w:r>
            <w:r>
              <w:rPr>
                <w:lang w:val="en-US" w:eastAsia="zh-CN"/>
              </w:rPr>
              <w:fldChar w:fldCharType="begin"/>
            </w:r>
            <w:r>
              <w:rPr>
                <w:lang w:val="en-US" w:eastAsia="zh-CN"/>
              </w:rPr>
              <w:instrText xml:space="preserve"> INCLUDEPICTURE "C:\\Users\\cmcc\\AppData\\Roaming\\Foxmail7\\Temp-9192-20220519203036\\Attach\\image001(05-19-20-35-18)(1).png" \* MERGEFORMATINET </w:instrText>
            </w:r>
            <w:r>
              <w:rPr>
                <w:lang w:val="en-US" w:eastAsia="zh-CN"/>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drawing>
                <wp:inline distT="0" distB="0" distL="114300" distR="114300">
                  <wp:extent cx="352425" cy="209550"/>
                  <wp:effectExtent l="0" t="0" r="317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r:link="rId6"/>
                          <a:stretch>
                            <a:fillRect/>
                          </a:stretch>
                        </pic:blipFill>
                        <pic:spPr>
                          <a:xfrm>
                            <a:off x="0" y="0"/>
                            <a:ext cx="352425" cy="209550"/>
                          </a:xfrm>
                          <a:prstGeom prst="rect">
                            <a:avLst/>
                          </a:prstGeom>
                          <a:noFill/>
                          <a:ln>
                            <a:noFill/>
                          </a:ln>
                        </pic:spPr>
                      </pic:pic>
                    </a:graphicData>
                  </a:graphic>
                </wp:inline>
              </w:drawing>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eastAsia="zh-CN"/>
              </w:rPr>
              <w:fldChar w:fldCharType="end"/>
            </w:r>
            <w:r>
              <w:rPr>
                <w:lang w:val="en-US" w:eastAsia="zh-CN"/>
              </w:rPr>
              <w:t>, </w:t>
            </w:r>
            <w:r>
              <w:rPr>
                <w:lang w:val="en-US" w:eastAsia="zh-CN"/>
              </w:rPr>
              <w:fldChar w:fldCharType="begin"/>
            </w:r>
            <w:r>
              <w:rPr>
                <w:lang w:val="en-US" w:eastAsia="zh-CN"/>
              </w:rPr>
              <w:instrText xml:space="preserve"> INCLUDEPICTURE "C:\\Users\\cmcc\\AppData\\Roaming\\Foxmail7\\Temp-9192-20220519203036\\Attach\\image002(05-19-20-35-18)(1).png" \* MERGEFORMATINET </w:instrText>
            </w:r>
            <w:r>
              <w:rPr>
                <w:lang w:val="en-US" w:eastAsia="zh-CN"/>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drawing>
                <wp:inline distT="0" distB="0" distL="114300" distR="114300">
                  <wp:extent cx="219075" cy="180975"/>
                  <wp:effectExtent l="0" t="0" r="9525"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r:link="rId8"/>
                          <a:stretch>
                            <a:fillRect/>
                          </a:stretch>
                        </pic:blipFill>
                        <pic:spPr>
                          <a:xfrm>
                            <a:off x="0" y="0"/>
                            <a:ext cx="219075" cy="180975"/>
                          </a:xfrm>
                          <a:prstGeom prst="rect">
                            <a:avLst/>
                          </a:prstGeom>
                          <a:noFill/>
                          <a:ln>
                            <a:noFill/>
                          </a:ln>
                        </pic:spPr>
                      </pic:pic>
                    </a:graphicData>
                  </a:graphic>
                </wp:inline>
              </w:drawing>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eastAsia="zh-CN"/>
              </w:rPr>
              <w:fldChar w:fldCharType="end"/>
            </w:r>
            <w:r>
              <w:rPr>
                <w:lang w:val="en-US" w:eastAsia="zh-CN"/>
              </w:rPr>
              <w:t>, </w:t>
            </w:r>
            <w:r>
              <w:rPr>
                <w:lang w:val="en-US" w:eastAsia="zh-CN"/>
              </w:rPr>
              <w:fldChar w:fldCharType="begin"/>
            </w:r>
            <w:r>
              <w:rPr>
                <w:lang w:val="en-US" w:eastAsia="zh-CN"/>
              </w:rPr>
              <w:instrText xml:space="preserve"> INCLUDEPICTURE "C:\\Users\\cmcc\\AppData\\Roaming\\Foxmail7\\Temp-9192-20220519203036\\Attach\\image003(05-19-20-35-18)(1).png" \* MERGEFORMATINET </w:instrText>
            </w:r>
            <w:r>
              <w:rPr>
                <w:lang w:val="en-US" w:eastAsia="zh-CN"/>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drawing>
                <wp:inline distT="0" distB="0" distL="114300" distR="114300">
                  <wp:extent cx="200025" cy="171450"/>
                  <wp:effectExtent l="0" t="0" r="3175" b="571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9" r:link="rId10"/>
                          <a:stretch>
                            <a:fillRect/>
                          </a:stretch>
                        </pic:blipFill>
                        <pic:spPr>
                          <a:xfrm>
                            <a:off x="0" y="0"/>
                            <a:ext cx="200025" cy="171450"/>
                          </a:xfrm>
                          <a:prstGeom prst="rect">
                            <a:avLst/>
                          </a:prstGeom>
                          <a:noFill/>
                          <a:ln>
                            <a:noFill/>
                          </a:ln>
                        </pic:spPr>
                      </pic:pic>
                    </a:graphicData>
                  </a:graphic>
                </wp:inline>
              </w:drawing>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eastAsia="zh-CN"/>
              </w:rPr>
              <w:fldChar w:fldCharType="end"/>
            </w:r>
            <w:r>
              <w:rPr>
                <w:lang w:val="en-US" w:eastAsia="zh-CN"/>
              </w:rPr>
              <w:t>) [38.306] can be as in Rel-17 RedCap.</w:t>
            </w:r>
          </w:p>
          <w:p>
            <w:pPr>
              <w:pStyle w:val="18"/>
              <w:numPr>
                <w:ilvl w:val="0"/>
                <w:numId w:val="6"/>
              </w:numPr>
              <w:overflowPunct w:val="0"/>
              <w:autoSpaceDE w:val="0"/>
              <w:autoSpaceDN w:val="0"/>
              <w:adjustRightInd w:val="0"/>
              <w:textAlignment w:val="baseline"/>
              <w:rPr>
                <w:lang w:val="en-US" w:eastAsia="zh-CN"/>
              </w:rPr>
            </w:pPr>
            <w:r>
              <w:rPr>
                <w:lang w:val="en-US" w:eastAsia="zh-CN"/>
              </w:rPr>
              <w:t>For Option PR2,</w:t>
            </w:r>
          </w:p>
          <w:p>
            <w:pPr>
              <w:pStyle w:val="18"/>
              <w:numPr>
                <w:ilvl w:val="1"/>
                <w:numId w:val="6"/>
              </w:numPr>
              <w:overflowPunct w:val="0"/>
              <w:autoSpaceDE w:val="0"/>
              <w:autoSpaceDN w:val="0"/>
              <w:adjustRightInd w:val="0"/>
              <w:textAlignment w:val="baseline"/>
              <w:rPr>
                <w:lang w:val="en-US" w:eastAsia="zh-CN"/>
              </w:rPr>
            </w:pPr>
            <w:r>
              <w:rPr>
                <w:lang w:val="en-US" w:eastAsia="zh-CN"/>
              </w:rPr>
              <w:t>For 15 kHz SCS, the maximum TBS is 10000 bits per TB and per slot.</w:t>
            </w:r>
          </w:p>
          <w:p>
            <w:pPr>
              <w:pStyle w:val="18"/>
              <w:numPr>
                <w:ilvl w:val="1"/>
                <w:numId w:val="6"/>
              </w:numPr>
              <w:overflowPunct w:val="0"/>
              <w:autoSpaceDE w:val="0"/>
              <w:autoSpaceDN w:val="0"/>
              <w:adjustRightInd w:val="0"/>
              <w:textAlignment w:val="baseline"/>
              <w:rPr>
                <w:lang w:val="en-US" w:eastAsia="zh-CN"/>
              </w:rPr>
            </w:pPr>
            <w:r>
              <w:rPr>
                <w:lang w:val="en-US" w:eastAsia="zh-CN"/>
              </w:rPr>
              <w:t>For 30 kHz SCS, the maximum TBS is 5000 bits per TB and per slot.</w:t>
            </w:r>
          </w:p>
          <w:p>
            <w:pPr>
              <w:pStyle w:val="18"/>
              <w:numPr>
                <w:ilvl w:val="0"/>
                <w:numId w:val="6"/>
              </w:numPr>
              <w:overflowPunct w:val="0"/>
              <w:autoSpaceDE w:val="0"/>
              <w:autoSpaceDN w:val="0"/>
              <w:adjustRightInd w:val="0"/>
              <w:textAlignment w:val="baseline"/>
              <w:rPr>
                <w:lang w:val="en-US" w:eastAsia="zh-CN"/>
              </w:rPr>
            </w:pPr>
            <w:r>
              <w:rPr>
                <w:lang w:val="en-US" w:eastAsia="zh-CN"/>
              </w:rPr>
              <w:t>For Option PR3,</w:t>
            </w:r>
          </w:p>
          <w:p>
            <w:pPr>
              <w:pStyle w:val="18"/>
              <w:numPr>
                <w:ilvl w:val="1"/>
                <w:numId w:val="6"/>
              </w:numPr>
              <w:overflowPunct w:val="0"/>
              <w:autoSpaceDE w:val="0"/>
              <w:autoSpaceDN w:val="0"/>
              <w:adjustRightInd w:val="0"/>
              <w:textAlignment w:val="baseline"/>
              <w:rPr>
                <w:lang w:val="en-US" w:eastAsia="zh-CN"/>
              </w:rPr>
            </w:pPr>
            <w:r>
              <w:rPr>
                <w:lang w:val="en-US" w:eastAsia="zh-CN"/>
              </w:rPr>
              <w:t>For 15 kHz SCS, the maximum number of RBs is 25.</w:t>
            </w:r>
          </w:p>
          <w:p>
            <w:pPr>
              <w:pStyle w:val="18"/>
              <w:numPr>
                <w:ilvl w:val="1"/>
                <w:numId w:val="6"/>
              </w:numPr>
              <w:overflowPunct w:val="0"/>
              <w:autoSpaceDE w:val="0"/>
              <w:autoSpaceDN w:val="0"/>
              <w:adjustRightInd w:val="0"/>
              <w:textAlignment w:val="baseline"/>
              <w:rPr>
                <w:lang w:val="en-US" w:eastAsia="zh-CN"/>
              </w:rPr>
            </w:pPr>
            <w:r>
              <w:rPr>
                <w:lang w:val="en-US" w:eastAsia="zh-CN"/>
              </w:rPr>
              <w:t>For 30 kHz SCS, the maximum number of RBs is 11.</w:t>
            </w:r>
          </w:p>
          <w:p>
            <w:pPr>
              <w:pStyle w:val="18"/>
              <w:numPr>
                <w:ilvl w:val="1"/>
                <w:numId w:val="6"/>
              </w:numPr>
              <w:overflowPunct w:val="0"/>
              <w:autoSpaceDE w:val="0"/>
              <w:autoSpaceDN w:val="0"/>
              <w:adjustRightInd w:val="0"/>
              <w:textAlignment w:val="baseline"/>
              <w:rPr>
                <w:lang w:val="en-US" w:eastAsia="zh-CN"/>
              </w:rPr>
            </w:pPr>
            <w:r>
              <w:rPr>
                <w:lang w:val="en-US" w:eastAsia="zh-CN"/>
              </w:rPr>
              <w:t>Other number of RBs that meet the 10-Mbps peak rate target can optionally be studied.</w:t>
            </w:r>
          </w:p>
          <w:p>
            <w:pPr>
              <w:pStyle w:val="18"/>
              <w:numPr>
                <w:ilvl w:val="0"/>
                <w:numId w:val="6"/>
              </w:numPr>
              <w:overflowPunct w:val="0"/>
              <w:autoSpaceDE w:val="0"/>
              <w:autoSpaceDN w:val="0"/>
              <w:adjustRightInd w:val="0"/>
              <w:textAlignment w:val="baseline"/>
              <w:rPr>
                <w:lang w:val="en-US" w:eastAsia="zh-CN"/>
              </w:rPr>
            </w:pPr>
            <w:r>
              <w:rPr>
                <w:lang w:val="en-US" w:eastAsia="zh-CN"/>
              </w:rPr>
              <w:t>Note: It is not precluded to report results also for other values.</w:t>
            </w:r>
          </w:p>
          <w:p>
            <w:pPr>
              <w:pStyle w:val="18"/>
              <w:numPr>
                <w:ilvl w:val="0"/>
                <w:numId w:val="6"/>
              </w:numPr>
              <w:overflowPunct w:val="0"/>
              <w:autoSpaceDE w:val="0"/>
              <w:autoSpaceDN w:val="0"/>
              <w:adjustRightInd w:val="0"/>
              <w:textAlignment w:val="baseline"/>
              <w:rPr>
                <w:lang w:val="en-US" w:eastAsia="zh-CN"/>
              </w:rPr>
            </w:pPr>
            <w:r>
              <w:rPr>
                <w:lang w:val="en-US" w:eastAsia="zh-CN"/>
              </w:rPr>
              <w:t>Relevant assumptions (e.g., regarding potential limitations of the TBS sum in case of more than one simultaneous TB) should be reported.</w:t>
            </w:r>
          </w:p>
          <w:p>
            <w:pPr>
              <w:overflowPunct w:val="0"/>
              <w:autoSpaceDE w:val="0"/>
              <w:autoSpaceDN w:val="0"/>
              <w:adjustRightInd w:val="0"/>
              <w:spacing w:line="231" w:lineRule="atLeast"/>
              <w:textAlignment w:val="baseline"/>
              <w:rPr>
                <w:rFonts w:ascii="Times New Roman" w:hAnsi="Times New Roman" w:eastAsia="Microsoft YaHei UI"/>
                <w:color w:val="000000"/>
                <w:szCs w:val="20"/>
                <w:highlight w:val="green"/>
                <w:lang w:val="en-US" w:eastAsia="zh-CN"/>
              </w:rPr>
            </w:pPr>
            <w:r>
              <w:rPr>
                <w:rFonts w:hint="eastAsia" w:ascii="Times New Roman" w:hAnsi="Times New Roman" w:eastAsia="Microsoft YaHei UI"/>
                <w:color w:val="000000"/>
                <w:szCs w:val="20"/>
                <w:highlight w:val="green"/>
                <w:lang w:val="en-US" w:eastAsia="zh-CN"/>
              </w:rPr>
              <w:t>Agreement</w:t>
            </w:r>
          </w:p>
          <w:p>
            <w:pPr>
              <w:pStyle w:val="18"/>
              <w:numPr>
                <w:ilvl w:val="0"/>
                <w:numId w:val="7"/>
              </w:numPr>
              <w:tabs>
                <w:tab w:val="left" w:pos="772"/>
              </w:tabs>
              <w:overflowPunct/>
              <w:autoSpaceDE/>
              <w:autoSpaceDN/>
              <w:adjustRightInd/>
              <w:spacing w:after="100" w:afterAutospacing="1" w:line="252" w:lineRule="auto"/>
              <w:textAlignment w:val="auto"/>
              <w:rPr>
                <w:lang w:val="en-US"/>
              </w:rPr>
            </w:pPr>
            <w:r>
              <w:rPr>
                <w:lang w:val="en-US"/>
              </w:rPr>
              <w:t>The following options for relaxed UE processing timeline will be studied:</w:t>
            </w:r>
          </w:p>
          <w:p>
            <w:pPr>
              <w:pStyle w:val="18"/>
              <w:numPr>
                <w:ilvl w:val="1"/>
                <w:numId w:val="7"/>
              </w:numPr>
              <w:overflowPunct/>
              <w:autoSpaceDE/>
              <w:autoSpaceDN/>
              <w:adjustRightInd/>
              <w:spacing w:line="252" w:lineRule="auto"/>
              <w:textAlignment w:val="auto"/>
              <w:rPr>
                <w:lang w:val="en-US"/>
              </w:rPr>
            </w:pPr>
            <w:r>
              <w:rPr>
                <w:lang w:val="en-US"/>
              </w:rPr>
              <w:t>Option PT1: Relaxation of UE processing time for PDSCH</w:t>
            </w:r>
            <w:r>
              <w:rPr>
                <w:rFonts w:eastAsia="等线"/>
                <w:lang w:val="en-US" w:eastAsia="zh-CN"/>
              </w:rPr>
              <w:t xml:space="preserve">/PUSCH </w:t>
            </w:r>
            <w:r>
              <w:rPr>
                <w:lang w:val="en-US"/>
              </w:rPr>
              <w:t>in terms of N</w:t>
            </w:r>
            <w:r>
              <w:rPr>
                <w:vertAlign w:val="subscript"/>
                <w:lang w:val="en-US"/>
              </w:rPr>
              <w:t>1</w:t>
            </w:r>
            <w:r>
              <w:rPr>
                <w:lang w:val="en-US"/>
              </w:rPr>
              <w:t xml:space="preserve"> and N</w:t>
            </w:r>
            <w:r>
              <w:rPr>
                <w:vertAlign w:val="subscript"/>
                <w:lang w:val="en-US"/>
              </w:rPr>
              <w:t>2</w:t>
            </w:r>
          </w:p>
          <w:p>
            <w:pPr>
              <w:pStyle w:val="18"/>
              <w:numPr>
                <w:ilvl w:val="1"/>
                <w:numId w:val="7"/>
              </w:numPr>
              <w:overflowPunct/>
              <w:autoSpaceDE/>
              <w:autoSpaceDN/>
              <w:adjustRightInd/>
              <w:spacing w:line="252" w:lineRule="auto"/>
              <w:textAlignment w:val="auto"/>
              <w:rPr>
                <w:lang w:val="en-US"/>
              </w:rPr>
            </w:pPr>
            <w:r>
              <w:rPr>
                <w:lang w:val="en-US"/>
              </w:rPr>
              <w:t>Option PT2: Relaxation of UE processing time for CSI in terms of Z and Z</w:t>
            </w:r>
            <w:r>
              <w:rPr>
                <w:color w:val="FF0000"/>
                <w:lang w:val="en-US"/>
              </w:rPr>
              <w:t>’</w:t>
            </w:r>
          </w:p>
          <w:p>
            <w:pPr>
              <w:pStyle w:val="18"/>
              <w:numPr>
                <w:ilvl w:val="0"/>
                <w:numId w:val="7"/>
              </w:numPr>
              <w:tabs>
                <w:tab w:val="left" w:pos="772"/>
              </w:tabs>
              <w:overflowPunct/>
              <w:autoSpaceDE/>
              <w:autoSpaceDN/>
              <w:adjustRightInd/>
              <w:spacing w:after="100" w:afterAutospacing="1" w:line="252" w:lineRule="auto"/>
              <w:textAlignment w:val="auto"/>
              <w:rPr>
                <w:rFonts w:hint="default"/>
                <w:vertAlign w:val="baseline"/>
                <w:lang w:val="en-US" w:eastAsia="zh-CN"/>
              </w:rPr>
            </w:pPr>
            <w:r>
              <w:rPr>
                <w:lang w:val="en-US"/>
              </w:rPr>
              <w:t>UE complexity reduction estimates for relaxed UE processing timeline are only reported for combinations with UE bandwidth reduction or UE peak rate reduction.</w:t>
            </w:r>
          </w:p>
          <w:p>
            <w:pPr>
              <w:overflowPunct w:val="0"/>
              <w:autoSpaceDE w:val="0"/>
              <w:autoSpaceDN w:val="0"/>
              <w:adjustRightInd w:val="0"/>
              <w:textAlignment w:val="baseline"/>
              <w:rPr>
                <w:highlight w:val="green"/>
                <w:lang w:val="en-US" w:eastAsia="zh-CN"/>
              </w:rPr>
            </w:pPr>
            <w:r>
              <w:rPr>
                <w:rFonts w:hint="eastAsia"/>
                <w:highlight w:val="green"/>
                <w:lang w:val="en-US" w:eastAsia="zh-CN"/>
              </w:rPr>
              <w:t>Agreement</w:t>
            </w:r>
          </w:p>
          <w:p>
            <w:pPr>
              <w:numPr>
                <w:ilvl w:val="0"/>
                <w:numId w:val="8"/>
              </w:numPr>
              <w:overflowPunct w:val="0"/>
              <w:autoSpaceDE w:val="0"/>
              <w:autoSpaceDN w:val="0"/>
              <w:adjustRightInd w:val="0"/>
              <w:spacing w:line="231" w:lineRule="atLeast"/>
              <w:textAlignment w:val="baseline"/>
              <w:rPr>
                <w:rFonts w:eastAsia="Microsoft YaHei UI" w:cs="Times"/>
                <w:color w:val="000000"/>
                <w:szCs w:val="20"/>
              </w:rPr>
            </w:pPr>
            <w:r>
              <w:rPr>
                <w:rFonts w:ascii="Times New Roman" w:hAnsi="Times New Roman" w:eastAsia="Microsoft YaHei UI"/>
                <w:color w:val="000000"/>
                <w:szCs w:val="20"/>
                <w:lang w:val="en-US" w:eastAsia="zh-CN"/>
              </w:rPr>
              <w:t>In Option PT1, the relaxation factor for N1 and N2 is 2.</w:t>
            </w:r>
          </w:p>
          <w:p>
            <w:pPr>
              <w:numPr>
                <w:ilvl w:val="0"/>
                <w:numId w:val="8"/>
              </w:numPr>
              <w:overflowPunct w:val="0"/>
              <w:autoSpaceDE w:val="0"/>
              <w:autoSpaceDN w:val="0"/>
              <w:adjustRightInd w:val="0"/>
              <w:spacing w:line="231" w:lineRule="atLeast"/>
              <w:textAlignment w:val="baseline"/>
              <w:rPr>
                <w:rFonts w:eastAsia="Microsoft YaHei UI" w:cs="Times"/>
                <w:color w:val="000000"/>
                <w:szCs w:val="20"/>
              </w:rPr>
            </w:pPr>
            <w:r>
              <w:rPr>
                <w:rFonts w:ascii="Times New Roman" w:hAnsi="Times New Roman" w:eastAsia="Microsoft YaHei UI"/>
                <w:color w:val="000000"/>
                <w:szCs w:val="20"/>
                <w:lang w:val="en-US" w:eastAsia="zh-CN"/>
              </w:rPr>
              <w:t>In Option PT2, the relaxation factor for Z and Z’ is 2.</w:t>
            </w:r>
          </w:p>
          <w:p>
            <w:pPr>
              <w:numPr>
                <w:ilvl w:val="0"/>
                <w:numId w:val="8"/>
              </w:numPr>
              <w:overflowPunct w:val="0"/>
              <w:autoSpaceDE w:val="0"/>
              <w:autoSpaceDN w:val="0"/>
              <w:adjustRightInd w:val="0"/>
              <w:spacing w:line="231" w:lineRule="atLeast"/>
              <w:textAlignment w:val="baseline"/>
              <w:rPr>
                <w:rFonts w:eastAsia="Microsoft YaHei UI" w:cs="Times"/>
                <w:color w:val="000000"/>
                <w:szCs w:val="20"/>
              </w:rPr>
            </w:pPr>
            <w:r>
              <w:rPr>
                <w:rFonts w:ascii="Times New Roman" w:hAnsi="Times New Roman" w:eastAsia="Microsoft YaHei UI"/>
                <w:color w:val="000000"/>
                <w:szCs w:val="20"/>
                <w:lang w:val="en-US" w:eastAsia="zh-CN"/>
              </w:rPr>
              <w:t>The combination of Options PT1 and PT2 is also studied.</w:t>
            </w:r>
          </w:p>
          <w:p>
            <w:pPr>
              <w:overflowPunct w:val="0"/>
              <w:autoSpaceDE w:val="0"/>
              <w:autoSpaceDN w:val="0"/>
              <w:adjustRightInd w:val="0"/>
              <w:textAlignment w:val="baseline"/>
              <w:rPr>
                <w:rFonts w:ascii="Times New Roman" w:hAnsi="Times New Roman"/>
                <w:szCs w:val="20"/>
                <w:highlight w:val="green"/>
                <w:lang w:val="en-US" w:eastAsia="zh-CN"/>
              </w:rPr>
            </w:pPr>
            <w:r>
              <w:rPr>
                <w:rFonts w:ascii="Times New Roman" w:hAnsi="Times New Roman"/>
                <w:szCs w:val="20"/>
                <w:highlight w:val="green"/>
                <w:lang w:val="en-US" w:eastAsia="zh-CN"/>
              </w:rPr>
              <w:t>Agreement</w:t>
            </w:r>
          </w:p>
          <w:p>
            <w:pPr>
              <w:pStyle w:val="18"/>
              <w:numPr>
                <w:ilvl w:val="0"/>
                <w:numId w:val="9"/>
              </w:numPr>
              <w:overflowPunct w:val="0"/>
              <w:autoSpaceDE w:val="0"/>
              <w:autoSpaceDN w:val="0"/>
              <w:adjustRightInd w:val="0"/>
              <w:textAlignment w:val="baseline"/>
              <w:rPr>
                <w:lang w:val="en-US" w:eastAsia="zh-CN"/>
              </w:rPr>
            </w:pPr>
            <w:r>
              <w:rPr>
                <w:lang w:val="en-US" w:eastAsia="zh-CN"/>
              </w:rPr>
              <w:t>UE complexity reduction is studied for the following combinations:</w:t>
            </w:r>
          </w:p>
          <w:p>
            <w:pPr>
              <w:pStyle w:val="18"/>
              <w:numPr>
                <w:ilvl w:val="1"/>
                <w:numId w:val="9"/>
              </w:numPr>
              <w:overflowPunct w:val="0"/>
              <w:autoSpaceDE w:val="0"/>
              <w:autoSpaceDN w:val="0"/>
              <w:adjustRightInd w:val="0"/>
              <w:textAlignment w:val="baseline"/>
              <w:rPr>
                <w:lang w:val="en-US" w:eastAsia="zh-CN"/>
              </w:rPr>
            </w:pPr>
            <w:r>
              <w:rPr>
                <w:lang w:val="en-US" w:eastAsia="zh-CN"/>
              </w:rPr>
              <w:t>Reference case (Rel-17 RedCap UE)</w:t>
            </w:r>
          </w:p>
          <w:p>
            <w:pPr>
              <w:pStyle w:val="18"/>
              <w:numPr>
                <w:ilvl w:val="1"/>
                <w:numId w:val="9"/>
              </w:numPr>
              <w:overflowPunct w:val="0"/>
              <w:autoSpaceDE w:val="0"/>
              <w:autoSpaceDN w:val="0"/>
              <w:adjustRightInd w:val="0"/>
              <w:textAlignment w:val="baseline"/>
              <w:rPr>
                <w:lang w:val="en-US" w:eastAsia="zh-CN"/>
              </w:rPr>
            </w:pPr>
            <w:r>
              <w:rPr>
                <w:lang w:eastAsia="zh-CN"/>
              </w:rPr>
              <w:t>BW1 + PT1 + PT2</w:t>
            </w:r>
          </w:p>
          <w:p>
            <w:pPr>
              <w:pStyle w:val="18"/>
              <w:numPr>
                <w:ilvl w:val="1"/>
                <w:numId w:val="9"/>
              </w:numPr>
              <w:overflowPunct w:val="0"/>
              <w:autoSpaceDE w:val="0"/>
              <w:autoSpaceDN w:val="0"/>
              <w:adjustRightInd w:val="0"/>
              <w:textAlignment w:val="baseline"/>
              <w:rPr>
                <w:lang w:val="en-US" w:eastAsia="zh-CN"/>
              </w:rPr>
            </w:pPr>
            <w:r>
              <w:rPr>
                <w:lang w:eastAsia="zh-CN"/>
              </w:rPr>
              <w:t>BW3 + PT1 + PT2</w:t>
            </w:r>
          </w:p>
          <w:p>
            <w:pPr>
              <w:pStyle w:val="18"/>
              <w:numPr>
                <w:ilvl w:val="1"/>
                <w:numId w:val="9"/>
              </w:numPr>
              <w:overflowPunct w:val="0"/>
              <w:autoSpaceDE w:val="0"/>
              <w:autoSpaceDN w:val="0"/>
              <w:adjustRightInd w:val="0"/>
              <w:textAlignment w:val="baseline"/>
              <w:rPr>
                <w:lang w:val="en-US" w:eastAsia="zh-CN"/>
              </w:rPr>
            </w:pPr>
            <w:r>
              <w:rPr>
                <w:lang w:eastAsia="zh-CN"/>
              </w:rPr>
              <w:t>PR1 + PT1 + PT2</w:t>
            </w:r>
          </w:p>
          <w:p>
            <w:pPr>
              <w:pStyle w:val="18"/>
              <w:numPr>
                <w:ilvl w:val="1"/>
                <w:numId w:val="9"/>
              </w:numPr>
              <w:overflowPunct w:val="0"/>
              <w:autoSpaceDE w:val="0"/>
              <w:autoSpaceDN w:val="0"/>
              <w:adjustRightInd w:val="0"/>
              <w:textAlignment w:val="baseline"/>
              <w:rPr>
                <w:lang w:val="en-US" w:eastAsia="zh-CN"/>
              </w:rPr>
            </w:pPr>
            <w:r>
              <w:rPr>
                <w:lang w:eastAsia="zh-CN"/>
              </w:rPr>
              <w:t>PR3 + PT1 + PT2</w:t>
            </w:r>
          </w:p>
          <w:p>
            <w:pPr>
              <w:pStyle w:val="18"/>
              <w:numPr>
                <w:ilvl w:val="0"/>
                <w:numId w:val="9"/>
              </w:numPr>
              <w:overflowPunct w:val="0"/>
              <w:autoSpaceDE w:val="0"/>
              <w:autoSpaceDN w:val="0"/>
              <w:adjustRightInd w:val="0"/>
              <w:textAlignment w:val="baseline"/>
              <w:rPr>
                <w:lang w:val="en-US" w:eastAsia="zh-CN"/>
              </w:rPr>
            </w:pPr>
            <w:r>
              <w:rPr>
                <w:lang w:val="en-US" w:eastAsia="zh-CN"/>
              </w:rPr>
              <w:t>In addition, optional results for the following combinations can also be reported:</w:t>
            </w:r>
          </w:p>
          <w:p>
            <w:pPr>
              <w:pStyle w:val="18"/>
              <w:numPr>
                <w:ilvl w:val="1"/>
                <w:numId w:val="9"/>
              </w:numPr>
              <w:overflowPunct w:val="0"/>
              <w:autoSpaceDE w:val="0"/>
              <w:autoSpaceDN w:val="0"/>
              <w:adjustRightInd w:val="0"/>
              <w:textAlignment w:val="baseline"/>
              <w:rPr>
                <w:lang w:val="en-US" w:eastAsia="zh-CN"/>
              </w:rPr>
            </w:pPr>
            <w:r>
              <w:rPr>
                <w:lang w:eastAsia="zh-CN"/>
              </w:rPr>
              <w:t>BW1 + PT1</w:t>
            </w:r>
          </w:p>
          <w:p>
            <w:pPr>
              <w:pStyle w:val="18"/>
              <w:numPr>
                <w:ilvl w:val="1"/>
                <w:numId w:val="9"/>
              </w:numPr>
              <w:overflowPunct w:val="0"/>
              <w:autoSpaceDE w:val="0"/>
              <w:autoSpaceDN w:val="0"/>
              <w:adjustRightInd w:val="0"/>
              <w:textAlignment w:val="baseline"/>
              <w:rPr>
                <w:lang w:val="en-US" w:eastAsia="zh-CN"/>
              </w:rPr>
            </w:pPr>
            <w:r>
              <w:rPr>
                <w:lang w:eastAsia="zh-CN"/>
              </w:rPr>
              <w:t>BW3 + PT1</w:t>
            </w:r>
          </w:p>
          <w:p>
            <w:pPr>
              <w:pStyle w:val="18"/>
              <w:numPr>
                <w:ilvl w:val="1"/>
                <w:numId w:val="9"/>
              </w:numPr>
              <w:overflowPunct w:val="0"/>
              <w:autoSpaceDE w:val="0"/>
              <w:autoSpaceDN w:val="0"/>
              <w:adjustRightInd w:val="0"/>
              <w:textAlignment w:val="baseline"/>
              <w:rPr>
                <w:lang w:val="en-US" w:eastAsia="zh-CN"/>
              </w:rPr>
            </w:pPr>
            <w:r>
              <w:rPr>
                <w:lang w:eastAsia="zh-CN"/>
              </w:rPr>
              <w:t>PR1 + PT1</w:t>
            </w:r>
          </w:p>
          <w:p>
            <w:pPr>
              <w:pStyle w:val="18"/>
              <w:numPr>
                <w:ilvl w:val="1"/>
                <w:numId w:val="9"/>
              </w:numPr>
              <w:overflowPunct w:val="0"/>
              <w:autoSpaceDE w:val="0"/>
              <w:autoSpaceDN w:val="0"/>
              <w:adjustRightInd w:val="0"/>
              <w:textAlignment w:val="baseline"/>
              <w:rPr>
                <w:lang w:val="en-US" w:eastAsia="zh-CN"/>
              </w:rPr>
            </w:pPr>
            <w:r>
              <w:rPr>
                <w:lang w:eastAsia="zh-CN"/>
              </w:rPr>
              <w:t>PR3 + PT1</w:t>
            </w:r>
          </w:p>
          <w:p>
            <w:pPr>
              <w:pStyle w:val="18"/>
              <w:numPr>
                <w:ilvl w:val="1"/>
                <w:numId w:val="9"/>
              </w:numPr>
              <w:overflowPunct w:val="0"/>
              <w:autoSpaceDE w:val="0"/>
              <w:autoSpaceDN w:val="0"/>
              <w:adjustRightInd w:val="0"/>
              <w:textAlignment w:val="baseline"/>
              <w:rPr>
                <w:rFonts w:eastAsia="Microsoft YaHei UI" w:cs="Times"/>
                <w:color w:val="000000"/>
                <w:szCs w:val="20"/>
              </w:rPr>
            </w:pPr>
            <w:r>
              <w:rPr>
                <w:lang w:eastAsia="zh-CN"/>
              </w:rPr>
              <w:t>BW2 + PT1 + PT2</w:t>
            </w:r>
          </w:p>
          <w:p>
            <w:pPr>
              <w:pStyle w:val="18"/>
              <w:numPr>
                <w:ilvl w:val="1"/>
                <w:numId w:val="9"/>
              </w:numPr>
              <w:overflowPunct w:val="0"/>
              <w:autoSpaceDE w:val="0"/>
              <w:autoSpaceDN w:val="0"/>
              <w:adjustRightInd w:val="0"/>
              <w:textAlignment w:val="baseline"/>
              <w:rPr>
                <w:rFonts w:eastAsia="Microsoft YaHei UI" w:cs="Times"/>
                <w:color w:val="000000"/>
                <w:szCs w:val="20"/>
              </w:rPr>
            </w:pPr>
            <w:r>
              <w:rPr>
                <w:lang w:eastAsia="zh-CN"/>
              </w:rPr>
              <w:t>PR2 + PT1 + PT2</w:t>
            </w:r>
          </w:p>
          <w:p>
            <w:pPr>
              <w:overflowPunct w:val="0"/>
              <w:autoSpaceDE w:val="0"/>
              <w:autoSpaceDN w:val="0"/>
              <w:adjustRightInd w:val="0"/>
              <w:spacing w:line="231" w:lineRule="atLeast"/>
              <w:textAlignment w:val="baseline"/>
              <w:rPr>
                <w:rFonts w:ascii="Times New Roman" w:hAnsi="Times New Roman" w:eastAsia="Microsoft YaHei UI"/>
                <w:color w:val="000000"/>
                <w:szCs w:val="20"/>
                <w:highlight w:val="green"/>
                <w:lang w:val="en-US" w:eastAsia="zh-CN"/>
              </w:rPr>
            </w:pPr>
            <w:r>
              <w:rPr>
                <w:rFonts w:hint="eastAsia" w:ascii="Times New Roman" w:hAnsi="Times New Roman" w:eastAsia="Microsoft YaHei UI"/>
                <w:color w:val="000000"/>
                <w:szCs w:val="20"/>
                <w:highlight w:val="green"/>
                <w:lang w:val="en-US" w:eastAsia="zh-CN"/>
              </w:rPr>
              <w:t>Agreement</w:t>
            </w:r>
          </w:p>
          <w:p>
            <w:pPr>
              <w:overflowPunct w:val="0"/>
              <w:autoSpaceDE w:val="0"/>
              <w:autoSpaceDN w:val="0"/>
              <w:adjustRightInd w:val="0"/>
              <w:textAlignment w:val="baseline"/>
              <w:rPr>
                <w:rFonts w:cs="Times"/>
              </w:rPr>
            </w:pPr>
            <w:r>
              <w:rPr>
                <w:lang w:val="en-US" w:eastAsia="zh-CN"/>
              </w:rPr>
              <w:t>For each potential Rel-18 further UE complexity reduction feature, at least the following aspects will be studied:</w:t>
            </w:r>
          </w:p>
          <w:p>
            <w:pPr>
              <w:pStyle w:val="18"/>
              <w:numPr>
                <w:ilvl w:val="0"/>
                <w:numId w:val="10"/>
              </w:numPr>
              <w:overflowPunct w:val="0"/>
              <w:autoSpaceDE w:val="0"/>
              <w:autoSpaceDN w:val="0"/>
              <w:adjustRightInd w:val="0"/>
              <w:textAlignment w:val="baseline"/>
              <w:rPr>
                <w:rFonts w:ascii="Times" w:hAnsi="Times" w:cs="Times"/>
              </w:rPr>
            </w:pPr>
            <w:r>
              <w:rPr>
                <w:lang w:val="en-US" w:eastAsia="zh-CN"/>
              </w:rPr>
              <w:t>UE complexity reduction</w:t>
            </w:r>
          </w:p>
          <w:p>
            <w:pPr>
              <w:pStyle w:val="18"/>
              <w:numPr>
                <w:ilvl w:val="0"/>
                <w:numId w:val="10"/>
              </w:numPr>
              <w:overflowPunct w:val="0"/>
              <w:autoSpaceDE w:val="0"/>
              <w:autoSpaceDN w:val="0"/>
              <w:adjustRightInd w:val="0"/>
              <w:textAlignment w:val="baseline"/>
              <w:rPr>
                <w:rFonts w:ascii="Times" w:hAnsi="Times" w:cs="Times"/>
              </w:rPr>
            </w:pPr>
            <w:r>
              <w:rPr>
                <w:lang w:val="en-US" w:eastAsia="zh-CN"/>
              </w:rPr>
              <w:t>Performance impacts [details FFS]</w:t>
            </w:r>
          </w:p>
          <w:p>
            <w:pPr>
              <w:pStyle w:val="18"/>
              <w:numPr>
                <w:ilvl w:val="0"/>
                <w:numId w:val="10"/>
              </w:numPr>
              <w:overflowPunct w:val="0"/>
              <w:autoSpaceDE w:val="0"/>
              <w:autoSpaceDN w:val="0"/>
              <w:adjustRightInd w:val="0"/>
              <w:textAlignment w:val="baseline"/>
              <w:rPr>
                <w:rFonts w:ascii="Times" w:hAnsi="Times" w:cs="Times"/>
              </w:rPr>
            </w:pPr>
            <w:r>
              <w:rPr>
                <w:lang w:val="en-US" w:eastAsia="zh-CN"/>
              </w:rPr>
              <w:t>Network deployment and coexistence impacts [details FFS]</w:t>
            </w:r>
          </w:p>
          <w:p>
            <w:pPr>
              <w:pStyle w:val="18"/>
              <w:numPr>
                <w:ilvl w:val="0"/>
                <w:numId w:val="10"/>
              </w:numPr>
              <w:overflowPunct w:val="0"/>
              <w:autoSpaceDE w:val="0"/>
              <w:autoSpaceDN w:val="0"/>
              <w:adjustRightInd w:val="0"/>
              <w:textAlignment w:val="baseline"/>
              <w:rPr>
                <w:vertAlign w:val="baseline"/>
                <w:lang w:eastAsia="ja-JP"/>
              </w:rPr>
            </w:pPr>
            <w:r>
              <w:rPr>
                <w:lang w:val="en-US" w:eastAsia="zh-CN"/>
              </w:rPr>
              <w:t>Specification impacts</w:t>
            </w:r>
          </w:p>
        </w:tc>
      </w:tr>
    </w:tbl>
    <w:p>
      <w:pPr>
        <w:jc w:val="both"/>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As shown in the agreement, the objective of the SI mainly focus on the following three aspects, including: UE bandwidth reduction, UE peak rate reduction</w:t>
      </w:r>
      <w:r>
        <w:rPr>
          <w:rFonts w:hint="eastAsia" w:cs="Times New Roman"/>
          <w:sz w:val="21"/>
          <w:szCs w:val="22"/>
          <w:lang w:val="en-US" w:eastAsia="zh-CN"/>
        </w:rPr>
        <w:t xml:space="preserve"> and</w:t>
      </w:r>
      <w:r>
        <w:rPr>
          <w:rFonts w:hint="eastAsia" w:ascii="Times New Roman" w:hAnsi="Times New Roman" w:cs="Times New Roman"/>
          <w:sz w:val="21"/>
          <w:szCs w:val="22"/>
          <w:lang w:val="en-US" w:eastAsia="zh-CN"/>
        </w:rPr>
        <w:t xml:space="preserve"> relaxation of UE processing time. In this contribution, we will present our views on the above three aspects.</w:t>
      </w:r>
    </w:p>
    <w:p>
      <w:pPr>
        <w:pStyle w:val="2"/>
        <w:overflowPunct w:val="0"/>
        <w:autoSpaceDE w:val="0"/>
        <w:autoSpaceDN w:val="0"/>
        <w:adjustRightInd w:val="0"/>
        <w:spacing w:after="180"/>
        <w:ind w:left="1134" w:hanging="1134"/>
        <w:textAlignment w:val="baseline"/>
        <w:rPr>
          <w:rFonts w:ascii="Arial" w:hAnsi="Arial" w:eastAsia="宋体" w:cs="Times New Roman"/>
          <w:b w:val="0"/>
          <w:bCs w:val="0"/>
          <w:kern w:val="0"/>
          <w:sz w:val="32"/>
          <w:szCs w:val="32"/>
          <w:lang w:val="en-US" w:eastAsia="zh-CN" w:bidi="ar-SA"/>
        </w:rPr>
      </w:pPr>
      <w:r>
        <w:rPr>
          <w:rFonts w:ascii="Arial" w:hAnsi="Arial" w:eastAsia="宋体" w:cs="Times New Roman"/>
          <w:b w:val="0"/>
          <w:bCs w:val="0"/>
          <w:kern w:val="0"/>
          <w:sz w:val="32"/>
          <w:szCs w:val="32"/>
          <w:lang w:val="en-US" w:eastAsia="zh-CN" w:bidi="ar-SA"/>
        </w:rPr>
        <w:t xml:space="preserve">Discussion on </w:t>
      </w:r>
      <w:r>
        <w:rPr>
          <w:rFonts w:hint="eastAsia" w:ascii="Arial" w:hAnsi="Arial" w:eastAsia="宋体" w:cs="Times New Roman"/>
          <w:b w:val="0"/>
          <w:bCs w:val="0"/>
          <w:kern w:val="0"/>
          <w:sz w:val="32"/>
          <w:szCs w:val="32"/>
          <w:lang w:val="en-US" w:eastAsia="zh-CN" w:bidi="ar-SA"/>
        </w:rPr>
        <w:t xml:space="preserve">further </w:t>
      </w:r>
      <w:r>
        <w:rPr>
          <w:rFonts w:ascii="Arial" w:hAnsi="Arial" w:eastAsia="宋体" w:cs="Times New Roman"/>
          <w:b w:val="0"/>
          <w:bCs w:val="0"/>
          <w:kern w:val="0"/>
          <w:sz w:val="32"/>
          <w:szCs w:val="32"/>
          <w:lang w:val="en-US" w:eastAsia="zh-CN" w:bidi="ar-SA"/>
        </w:rPr>
        <w:t>UE complexity reductio</w:t>
      </w:r>
      <w:r>
        <w:rPr>
          <w:rFonts w:ascii="Arial" w:hAnsi="Arial" w:eastAsia="宋体" w:cs="Times New Roman"/>
          <w:b w:val="0"/>
          <w:bCs w:val="0"/>
          <w:kern w:val="0"/>
          <w:sz w:val="32"/>
          <w:szCs w:val="32"/>
          <w:lang w:val="en-GB" w:eastAsia="zh-CN" w:bidi="ar-SA"/>
        </w:rPr>
        <w:t>n features</w:t>
      </w:r>
    </w:p>
    <w:p>
      <w:pPr>
        <w:pStyle w:val="3"/>
        <w:pBdr>
          <w:top w:val="none" w:color="auto" w:sz="0" w:space="0"/>
        </w:pBdr>
        <w:overflowPunct w:val="0"/>
        <w:autoSpaceDE w:val="0"/>
        <w:autoSpaceDN w:val="0"/>
        <w:adjustRightInd w:val="0"/>
        <w:spacing w:before="180" w:beforeLines="-2147483648" w:beforeAutospacing="0" w:after="180" w:afterLines="-2147483648" w:afterAutospacing="0" w:line="240" w:lineRule="auto"/>
        <w:ind w:left="1134" w:hanging="1134"/>
        <w:textAlignment w:val="baseline"/>
        <w:rPr>
          <w:rFonts w:hint="default" w:eastAsia="宋体" w:cs="Times New Roman"/>
          <w:b w:val="0"/>
          <w:bCs w:val="0"/>
          <w:kern w:val="0"/>
          <w:sz w:val="28"/>
          <w:szCs w:val="28"/>
          <w:lang w:val="en-GB" w:eastAsia="ja-JP" w:bidi="ar-SA"/>
        </w:rPr>
      </w:pPr>
      <w:r>
        <w:rPr>
          <w:rFonts w:hint="default" w:eastAsia="宋体" w:cs="Times New Roman"/>
          <w:b w:val="0"/>
          <w:bCs w:val="0"/>
          <w:kern w:val="0"/>
          <w:sz w:val="28"/>
          <w:szCs w:val="28"/>
          <w:lang w:val="en-GB" w:eastAsia="ja-JP" w:bidi="ar-SA"/>
        </w:rPr>
        <w:t>UE bandwidth reduction to 5MHz in FR1</w:t>
      </w:r>
    </w:p>
    <w:tbl>
      <w:tblPr>
        <w:tblStyle w:val="1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shd w:val="clear" w:color="auto" w:fill="FFFFFF"/>
              <w:overflowPunct w:val="0"/>
              <w:autoSpaceDE w:val="0"/>
              <w:autoSpaceDN w:val="0"/>
              <w:adjustRightInd w:val="0"/>
              <w:spacing w:line="231" w:lineRule="atLeast"/>
              <w:jc w:val="both"/>
              <w:textAlignment w:val="baseline"/>
              <w:rPr>
                <w:rFonts w:ascii="Times New Roman" w:hAnsi="Times New Roman" w:eastAsia="宋体"/>
                <w:szCs w:val="20"/>
                <w:highlight w:val="green"/>
                <w:lang w:val="en-US" w:eastAsia="zh-CN"/>
              </w:rPr>
            </w:pPr>
            <w:r>
              <w:rPr>
                <w:rFonts w:ascii="Times New Roman" w:hAnsi="Times New Roman" w:eastAsia="宋体"/>
                <w:szCs w:val="20"/>
                <w:highlight w:val="green"/>
                <w:shd w:val="clear" w:color="auto" w:fill="FFFF00"/>
                <w:lang w:val="en-US" w:eastAsia="zh-CN"/>
              </w:rPr>
              <w:t>Agreement</w:t>
            </w:r>
          </w:p>
          <w:p>
            <w:pPr>
              <w:numPr>
                <w:ilvl w:val="0"/>
                <w:numId w:val="2"/>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following options for further UE bandwidth reduction can be studied:</w:t>
            </w:r>
          </w:p>
          <w:p>
            <w:pPr>
              <w:numPr>
                <w:ilvl w:val="1"/>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Option BW1: Both RF and BB bandwidths are 5 MHz for UL and DL.</w:t>
            </w:r>
          </w:p>
          <w:p>
            <w:pPr>
              <w:numPr>
                <w:ilvl w:val="1"/>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pPr>
              <w:numPr>
                <w:ilvl w:val="0"/>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In addition, optional results for the following option can also be reported:</w:t>
            </w:r>
          </w:p>
          <w:p>
            <w:pPr>
              <w:numPr>
                <w:ilvl w:val="1"/>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Option BW2: 5 MHz BB bandwidth for all signals and channels with 20 MHz RF bandwidth for UL and DL.</w:t>
            </w:r>
          </w:p>
          <w:p>
            <w:pPr>
              <w:numPr>
                <w:ilvl w:val="0"/>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At least the following cases are studied:</w:t>
            </w:r>
          </w:p>
          <w:p>
            <w:pPr>
              <w:numPr>
                <w:ilvl w:val="1"/>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resource allocation spans a bandwidth of maximum 5 MHz.</w:t>
            </w:r>
          </w:p>
          <w:p>
            <w:pPr>
              <w:numPr>
                <w:ilvl w:val="1"/>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same option is used for UL and DL.</w:t>
            </w:r>
          </w:p>
          <w:p>
            <w:pPr>
              <w:numPr>
                <w:ilvl w:val="1"/>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same option is used for idle/inactive and connected mode.</w:t>
            </w:r>
          </w:p>
          <w:p>
            <w:pPr>
              <w:numPr>
                <w:ilvl w:val="1"/>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It is FFS whether to study other cases.</w:t>
            </w:r>
          </w:p>
          <w:p>
            <w:pPr>
              <w:numPr>
                <w:ilvl w:val="0"/>
                <w:numId w:val="3"/>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Note: As part of study of above options, it is not precluded to indicate that an observation is relevant for UL only or DL only.</w:t>
            </w:r>
          </w:p>
          <w:p>
            <w:pPr>
              <w:overflowPunct w:val="0"/>
              <w:autoSpaceDE w:val="0"/>
              <w:autoSpaceDN w:val="0"/>
              <w:adjustRightInd w:val="0"/>
              <w:textAlignment w:val="baseline"/>
              <w:rPr>
                <w:rFonts w:ascii="Times New Roman" w:hAnsi="Times New Roman"/>
                <w:szCs w:val="20"/>
                <w:highlight w:val="green"/>
                <w:lang w:val="en-US" w:eastAsia="zh-CN"/>
              </w:rPr>
            </w:pPr>
            <w:r>
              <w:rPr>
                <w:rFonts w:ascii="Times New Roman" w:hAnsi="Times New Roman"/>
                <w:szCs w:val="20"/>
                <w:highlight w:val="green"/>
                <w:shd w:val="clear" w:color="auto" w:fill="FFFF00"/>
                <w:lang w:val="en-US" w:eastAsia="zh-CN"/>
              </w:rPr>
              <w:t>Agreement</w:t>
            </w:r>
          </w:p>
          <w:p>
            <w:pPr>
              <w:pStyle w:val="18"/>
              <w:numPr>
                <w:ilvl w:val="0"/>
                <w:numId w:val="4"/>
              </w:numPr>
              <w:overflowPunct w:val="0"/>
              <w:autoSpaceDE w:val="0"/>
              <w:autoSpaceDN w:val="0"/>
              <w:adjustRightInd w:val="0"/>
              <w:textAlignment w:val="baseline"/>
              <w:rPr>
                <w:lang w:val="en-US" w:eastAsia="zh-CN"/>
              </w:rPr>
            </w:pPr>
            <w:r>
              <w:rPr>
                <w:lang w:val="en-US" w:eastAsia="zh-CN"/>
              </w:rPr>
              <w:t>For Options BW1,</w:t>
            </w:r>
          </w:p>
          <w:p>
            <w:pPr>
              <w:pStyle w:val="18"/>
              <w:numPr>
                <w:ilvl w:val="1"/>
                <w:numId w:val="4"/>
              </w:numPr>
              <w:overflowPunct w:val="0"/>
              <w:autoSpaceDE w:val="0"/>
              <w:autoSpaceDN w:val="0"/>
              <w:adjustRightInd w:val="0"/>
              <w:textAlignment w:val="baseline"/>
              <w:rPr>
                <w:lang w:val="en-US" w:eastAsia="zh-CN"/>
              </w:rPr>
            </w:pPr>
            <w:r>
              <w:rPr>
                <w:lang w:val="en-US" w:eastAsia="zh-CN"/>
              </w:rPr>
              <w:t>For 15 kHz SCS, 25 contiguous RBs are assumed to fit within the 5 MHz.</w:t>
            </w:r>
          </w:p>
          <w:p>
            <w:pPr>
              <w:pStyle w:val="18"/>
              <w:numPr>
                <w:ilvl w:val="1"/>
                <w:numId w:val="4"/>
              </w:numPr>
              <w:overflowPunct w:val="0"/>
              <w:autoSpaceDE w:val="0"/>
              <w:autoSpaceDN w:val="0"/>
              <w:adjustRightInd w:val="0"/>
              <w:textAlignment w:val="baseline"/>
              <w:rPr>
                <w:lang w:val="en-US" w:eastAsia="zh-CN"/>
              </w:rPr>
            </w:pPr>
            <w:r>
              <w:rPr>
                <w:lang w:val="en-US" w:eastAsia="zh-CN"/>
              </w:rPr>
              <w:t>For 30 kHz SCS, 11 contiguous RBs are assumed to fit within the 5 MHz.</w:t>
            </w:r>
          </w:p>
          <w:p>
            <w:pPr>
              <w:pStyle w:val="18"/>
              <w:numPr>
                <w:ilvl w:val="1"/>
                <w:numId w:val="4"/>
              </w:numPr>
              <w:overflowPunct w:val="0"/>
              <w:autoSpaceDE w:val="0"/>
              <w:autoSpaceDN w:val="0"/>
              <w:adjustRightInd w:val="0"/>
              <w:textAlignment w:val="baseline"/>
              <w:rPr>
                <w:lang w:val="en-US" w:eastAsia="zh-CN"/>
              </w:rPr>
            </w:pPr>
            <w:r>
              <w:rPr>
                <w:highlight w:val="none"/>
                <w:lang w:val="en-US" w:eastAsia="zh-CN"/>
              </w:rPr>
              <w:t>Larger number of RBs that fit within 5 MHz can optionally be studied.</w:t>
            </w:r>
          </w:p>
          <w:p>
            <w:pPr>
              <w:pStyle w:val="18"/>
              <w:numPr>
                <w:ilvl w:val="0"/>
                <w:numId w:val="4"/>
              </w:numPr>
              <w:overflowPunct w:val="0"/>
              <w:autoSpaceDE w:val="0"/>
              <w:autoSpaceDN w:val="0"/>
              <w:adjustRightInd w:val="0"/>
              <w:textAlignment w:val="baseline"/>
              <w:rPr>
                <w:lang w:val="en-US" w:eastAsia="zh-CN"/>
              </w:rPr>
            </w:pPr>
            <w:r>
              <w:rPr>
                <w:lang w:val="en-US" w:eastAsia="zh-CN"/>
              </w:rPr>
              <w:t>For Options BW2,</w:t>
            </w:r>
          </w:p>
          <w:p>
            <w:pPr>
              <w:pStyle w:val="18"/>
              <w:numPr>
                <w:ilvl w:val="1"/>
                <w:numId w:val="4"/>
              </w:numPr>
              <w:overflowPunct w:val="0"/>
              <w:autoSpaceDE w:val="0"/>
              <w:autoSpaceDN w:val="0"/>
              <w:adjustRightInd w:val="0"/>
              <w:textAlignment w:val="baseline"/>
              <w:rPr>
                <w:lang w:val="en-US" w:eastAsia="zh-CN"/>
              </w:rPr>
            </w:pPr>
            <w:r>
              <w:rPr>
                <w:lang w:val="en-US" w:eastAsia="zh-CN"/>
              </w:rPr>
              <w:t>For 15 kHz SCS, 25 contiguous RBs are assumed to fit within the 5 MHz.</w:t>
            </w:r>
          </w:p>
          <w:p>
            <w:pPr>
              <w:pStyle w:val="18"/>
              <w:numPr>
                <w:ilvl w:val="1"/>
                <w:numId w:val="4"/>
              </w:numPr>
              <w:overflowPunct w:val="0"/>
              <w:autoSpaceDE w:val="0"/>
              <w:autoSpaceDN w:val="0"/>
              <w:adjustRightInd w:val="0"/>
              <w:textAlignment w:val="baseline"/>
              <w:rPr>
                <w:lang w:val="en-US" w:eastAsia="zh-CN"/>
              </w:rPr>
            </w:pPr>
            <w:r>
              <w:rPr>
                <w:lang w:val="en-US" w:eastAsia="zh-CN"/>
              </w:rPr>
              <w:t>For 30 kHz SCS, 11 contiguous RBs are assumed to fit within the 5 MHz.</w:t>
            </w:r>
          </w:p>
          <w:p>
            <w:pPr>
              <w:pStyle w:val="18"/>
              <w:numPr>
                <w:ilvl w:val="1"/>
                <w:numId w:val="4"/>
              </w:numPr>
              <w:overflowPunct w:val="0"/>
              <w:autoSpaceDE w:val="0"/>
              <w:autoSpaceDN w:val="0"/>
              <w:adjustRightInd w:val="0"/>
              <w:textAlignment w:val="baseline"/>
              <w:rPr>
                <w:lang w:val="en-US" w:eastAsia="zh-CN"/>
              </w:rPr>
            </w:pPr>
            <w:r>
              <w:rPr>
                <w:lang w:val="en-US" w:eastAsia="zh-CN"/>
              </w:rPr>
              <w:t>Larger number of RBs that fit within 5 MHz can optionally be studied.</w:t>
            </w:r>
          </w:p>
          <w:p>
            <w:pPr>
              <w:pStyle w:val="18"/>
              <w:numPr>
                <w:ilvl w:val="0"/>
                <w:numId w:val="4"/>
              </w:numPr>
              <w:overflowPunct w:val="0"/>
              <w:autoSpaceDE w:val="0"/>
              <w:autoSpaceDN w:val="0"/>
              <w:adjustRightInd w:val="0"/>
              <w:textAlignment w:val="baseline"/>
              <w:rPr>
                <w:lang w:val="en-US" w:eastAsia="zh-CN"/>
              </w:rPr>
            </w:pPr>
            <w:r>
              <w:rPr>
                <w:lang w:val="en-US" w:eastAsia="zh-CN"/>
              </w:rPr>
              <w:t>For Options BW3,</w:t>
            </w:r>
          </w:p>
          <w:p>
            <w:pPr>
              <w:pStyle w:val="18"/>
              <w:numPr>
                <w:ilvl w:val="1"/>
                <w:numId w:val="4"/>
              </w:numPr>
              <w:overflowPunct w:val="0"/>
              <w:autoSpaceDE w:val="0"/>
              <w:autoSpaceDN w:val="0"/>
              <w:adjustRightInd w:val="0"/>
              <w:textAlignment w:val="baseline"/>
              <w:rPr>
                <w:lang w:val="en-US" w:eastAsia="zh-CN"/>
              </w:rPr>
            </w:pPr>
            <w:r>
              <w:rPr>
                <w:lang w:val="en-US" w:eastAsia="zh-CN"/>
              </w:rPr>
              <w:t>For 15 kHz SCS, 25 contiguous RBs are assumed to fit within the 5 MHz.</w:t>
            </w:r>
          </w:p>
          <w:p>
            <w:pPr>
              <w:pStyle w:val="18"/>
              <w:numPr>
                <w:ilvl w:val="1"/>
                <w:numId w:val="4"/>
              </w:numPr>
              <w:overflowPunct w:val="0"/>
              <w:autoSpaceDE w:val="0"/>
              <w:autoSpaceDN w:val="0"/>
              <w:adjustRightInd w:val="0"/>
              <w:textAlignment w:val="baseline"/>
              <w:rPr>
                <w:lang w:val="en-US" w:eastAsia="zh-CN"/>
              </w:rPr>
            </w:pPr>
            <w:r>
              <w:rPr>
                <w:lang w:val="en-US" w:eastAsia="zh-CN"/>
              </w:rPr>
              <w:t>For 30 kHz SCS, 11 contiguous RBs are assumed to fit within the 5 MHz.</w:t>
            </w:r>
          </w:p>
          <w:p>
            <w:pPr>
              <w:pStyle w:val="18"/>
              <w:numPr>
                <w:ilvl w:val="1"/>
                <w:numId w:val="4"/>
              </w:numPr>
              <w:overflowPunct w:val="0"/>
              <w:autoSpaceDE w:val="0"/>
              <w:autoSpaceDN w:val="0"/>
              <w:adjustRightInd w:val="0"/>
              <w:textAlignment w:val="baseline"/>
              <w:rPr>
                <w:lang w:val="en-US" w:eastAsia="zh-CN"/>
              </w:rPr>
            </w:pPr>
            <w:r>
              <w:rPr>
                <w:lang w:val="en-US" w:eastAsia="zh-CN"/>
              </w:rPr>
              <w:t>Larger number of RBs that fit within 5 MHz can optionally be studied.</w:t>
            </w:r>
          </w:p>
          <w:p>
            <w:pPr>
              <w:pStyle w:val="18"/>
              <w:numPr>
                <w:ilvl w:val="0"/>
                <w:numId w:val="4"/>
              </w:numPr>
              <w:overflowPunct w:val="0"/>
              <w:autoSpaceDE w:val="0"/>
              <w:autoSpaceDN w:val="0"/>
              <w:adjustRightInd w:val="0"/>
              <w:textAlignment w:val="baseline"/>
              <w:rPr>
                <w:rFonts w:hint="default"/>
                <w:vertAlign w:val="baseline"/>
                <w:lang w:val="en-GB" w:eastAsia="ja-JP"/>
              </w:rPr>
            </w:pPr>
            <w:r>
              <w:rPr>
                <w:lang w:val="en-US" w:eastAsia="zh-CN"/>
              </w:rPr>
              <w:t>Relevant assumptions (e.g., regarding potential scheduling restrictions) should be reported.</w:t>
            </w:r>
          </w:p>
        </w:tc>
      </w:tr>
    </w:tbl>
    <w:p>
      <w:pPr>
        <w:jc w:val="both"/>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As discussed in the last meeting, R18 redcap UE can support a larger number of RBs, such as 12RB for 30KHz SCS, in addition to supporting 25RB for 15KHz SCS and 11RB for 30KHz SCS within 5MHz bandwidth.</w:t>
      </w:r>
      <w:r>
        <w:rPr>
          <w:rFonts w:hint="default" w:ascii="Times New Roman" w:hAnsi="Times New Roman" w:cs="Times New Roman"/>
          <w:sz w:val="21"/>
          <w:szCs w:val="22"/>
          <w:lang w:val="en-US" w:eastAsia="zh-CN"/>
        </w:rPr>
        <w:t xml:space="preserve"> The reasons why 30KHz SCS is recommended to support 12RB are summarized as follows.</w:t>
      </w:r>
    </w:p>
    <w:p>
      <w:pPr>
        <w:jc w:val="both"/>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 xml:space="preserve">Firstly, 12(RB)*30(KHz)*12(SC)=4.32(MHz)&lt;5MHz, that is, 12 RBs </w:t>
      </w:r>
      <w:r>
        <w:rPr>
          <w:rFonts w:hint="eastAsia" w:cs="Times New Roman"/>
          <w:sz w:val="21"/>
          <w:szCs w:val="22"/>
          <w:lang w:val="en-US" w:eastAsia="zh-CN"/>
        </w:rPr>
        <w:t>supporting</w:t>
      </w:r>
      <w:r>
        <w:rPr>
          <w:rFonts w:hint="eastAsia" w:ascii="Times New Roman" w:hAnsi="Times New Roman" w:cs="Times New Roman"/>
          <w:sz w:val="21"/>
          <w:szCs w:val="22"/>
          <w:lang w:val="en-US" w:eastAsia="zh-CN"/>
        </w:rPr>
        <w:t xml:space="preserve"> 30KHz SCS do not exceed 5MHz bandwidth</w:t>
      </w:r>
      <w:r>
        <w:rPr>
          <w:rFonts w:hint="eastAsia" w:cs="Times New Roman"/>
          <w:sz w:val="21"/>
          <w:szCs w:val="22"/>
          <w:lang w:val="en-US" w:eastAsia="zh-CN"/>
        </w:rPr>
        <w:t>,</w:t>
      </w:r>
      <w:r>
        <w:rPr>
          <w:rFonts w:hint="eastAsia" w:ascii="Times New Roman" w:hAnsi="Times New Roman" w:cs="Times New Roman"/>
          <w:sz w:val="21"/>
          <w:szCs w:val="22"/>
          <w:lang w:val="en-US" w:eastAsia="zh-CN"/>
        </w:rPr>
        <w:t xml:space="preserve"> and 5MHz of R18 Redcap UE is only BWP configuration rather than cell carrier deployment</w:t>
      </w:r>
      <w:r>
        <w:rPr>
          <w:rFonts w:hint="default" w:ascii="Times New Roman" w:hAnsi="Times New Roman" w:cs="Times New Roman"/>
          <w:sz w:val="21"/>
          <w:szCs w:val="22"/>
          <w:lang w:val="en-US" w:eastAsia="zh-CN"/>
        </w:rPr>
        <w:t xml:space="preserve"> , so there is no need to reserve a guard band</w:t>
      </w:r>
      <w:r>
        <w:rPr>
          <w:rFonts w:hint="eastAsia" w:cs="Times New Roman"/>
          <w:sz w:val="21"/>
          <w:szCs w:val="22"/>
          <w:lang w:val="en-US" w:eastAsia="zh-CN"/>
        </w:rPr>
        <w:t>.</w:t>
      </w:r>
      <w:r>
        <w:rPr>
          <w:rFonts w:hint="default" w:ascii="Times New Roman" w:hAnsi="Times New Roman" w:cs="Times New Roman"/>
          <w:sz w:val="21"/>
          <w:szCs w:val="22"/>
          <w:lang w:val="en-US" w:eastAsia="zh-CN"/>
        </w:rPr>
        <w:t xml:space="preserve"> </w:t>
      </w:r>
      <w:r>
        <w:rPr>
          <w:rFonts w:hint="eastAsia" w:cs="Times New Roman"/>
          <w:sz w:val="21"/>
          <w:szCs w:val="22"/>
          <w:lang w:val="en-US" w:eastAsia="zh-CN"/>
        </w:rPr>
        <w:t>T</w:t>
      </w:r>
      <w:r>
        <w:rPr>
          <w:rFonts w:hint="default" w:ascii="Times New Roman" w:hAnsi="Times New Roman" w:cs="Times New Roman"/>
          <w:sz w:val="21"/>
          <w:szCs w:val="22"/>
          <w:lang w:val="en-US" w:eastAsia="zh-CN"/>
        </w:rPr>
        <w:t>herefore, 12RB supporting 30KHz SCS can meet the bandwidth limitation requirement of R18 Redcap UE.</w:t>
      </w:r>
    </w:p>
    <w:p>
      <w:pPr>
        <w:jc w:val="both"/>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Secondly, according to 38.211, one CCE is composed of 6 REGs, that is, the size of one CORESET is a multiple of 6. If the 5MHz bandwidth of the 30KHz SCS is limited to 11 RBs, some CCEs may be unavailable. Therefore, the number of RBs in the 5MHz bandwidth of the 30KHz SCS is recommended to be 12.</w:t>
      </w:r>
    </w:p>
    <w:p>
      <w:pPr>
        <w:jc w:val="both"/>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Thirdly, according to Table 6.3.2.2-1 of 38.211, it can be known that the number of RBs required for PRACH preamble of 30KHz SCS is 3, 6, 12 and 48.</w:t>
      </w:r>
      <w:r>
        <w:rPr>
          <w:rFonts w:hint="default" w:ascii="Times New Roman" w:hAnsi="Times New Roman" w:cs="Times New Roman"/>
          <w:sz w:val="21"/>
          <w:szCs w:val="22"/>
          <w:lang w:val="en-US" w:eastAsia="zh-CN"/>
        </w:rPr>
        <w:t xml:space="preserve"> If the number of PRBs of 30KHz SCS is limited to 11RB, it may be necessary to modify the generation of the existing preamble sequence</w:t>
      </w:r>
      <w:r>
        <w:rPr>
          <w:rFonts w:hint="eastAsia" w:cs="Times New Roman"/>
          <w:sz w:val="21"/>
          <w:szCs w:val="22"/>
          <w:lang w:val="en-US" w:eastAsia="zh-CN"/>
        </w:rPr>
        <w:t xml:space="preserve"> or limit the available preamble format</w:t>
      </w:r>
      <w:r>
        <w:rPr>
          <w:rFonts w:hint="default" w:ascii="Times New Roman" w:hAnsi="Times New Roman" w:cs="Times New Roman"/>
          <w:sz w:val="21"/>
          <w:szCs w:val="22"/>
          <w:lang w:val="en-US" w:eastAsia="zh-CN"/>
        </w:rPr>
        <w:t>, which is not conducive to the coexistence of R18 Redcap UE and R17 Redcap UE/legacy UE.</w:t>
      </w:r>
      <w:r>
        <w:rPr>
          <w:rFonts w:hint="eastAsia" w:ascii="Times New Roman" w:hAnsi="Times New Roman" w:cs="Times New Roman"/>
          <w:sz w:val="21"/>
          <w:szCs w:val="22"/>
          <w:lang w:val="en-US" w:eastAsia="zh-CN"/>
        </w:rPr>
        <w:t xml:space="preserve"> </w:t>
      </w:r>
      <w:r>
        <w:rPr>
          <w:rFonts w:hint="default" w:ascii="Times New Roman" w:hAnsi="Times New Roman" w:cs="Times New Roman"/>
          <w:sz w:val="21"/>
          <w:szCs w:val="22"/>
          <w:lang w:val="en-US" w:eastAsia="zh-CN"/>
        </w:rPr>
        <w:t>Table 6.3.2.2-1 is shown below</w:t>
      </w:r>
      <w:r>
        <w:rPr>
          <w:rFonts w:hint="eastAsia" w:ascii="Times New Roman" w:hAnsi="Times New Roman" w:cs="Times New Roman"/>
          <w:sz w:val="21"/>
          <w:szCs w:val="22"/>
          <w:lang w:val="en-US" w:eastAsia="zh-CN"/>
        </w:rPr>
        <w:t>.</w:t>
      </w:r>
    </w:p>
    <w:p>
      <w:pPr>
        <w:numPr>
          <w:ilvl w:val="0"/>
          <w:numId w:val="0"/>
        </w:numPr>
        <w:ind w:leftChars="0"/>
        <w:rPr>
          <w:rFonts w:hint="default" w:eastAsiaTheme="minorEastAsia"/>
          <w:sz w:val="21"/>
          <w:szCs w:val="22"/>
          <w:lang w:val="en-US" w:eastAsia="zh-CN"/>
        </w:rPr>
      </w:pPr>
    </w:p>
    <w:p>
      <w:pPr>
        <w:pStyle w:val="20"/>
      </w:pPr>
      <w:r>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ctrlPr>
              <w:rPr>
                <w:rFonts w:ascii="Cambria Math" w:hAnsi="Cambria Math"/>
              </w:rPr>
            </m:ctrlPr>
          </m:e>
          <m:sub>
            <m:r>
              <m:rPr>
                <m:nor/>
                <m:sty m:val="p"/>
              </m:rPr>
              <w:rPr>
                <w:b w:val="0"/>
                <w:i w:val="0"/>
              </w:rPr>
              <m:t>RA</m:t>
            </m:r>
            <m:ctrlPr>
              <w:rPr>
                <w:rFonts w:ascii="Cambria Math" w:hAnsi="Cambria Math"/>
              </w:rPr>
            </m:ctrlPr>
          </m:sub>
        </m:sSub>
      </m:oMath>
      <w:r>
        <w:rPr>
          <w:rFonts w:eastAsia="Batang"/>
        </w:rPr>
        <w:t xml:space="preserve"> and </w:t>
      </w:r>
      <m:oMath>
        <m:r>
          <m:rPr>
            <m:sty m:val="b"/>
          </m:rPr>
          <w:rPr>
            <w:rFonts w:ascii="Cambria Math" w:hAnsi="Cambria Math"/>
          </w:rPr>
          <m:t>Δ</m:t>
        </m:r>
        <m:r>
          <m:rPr>
            <m:sty m:val="bi"/>
          </m:rPr>
          <w:rPr>
            <w:rFonts w:ascii="Cambria Math" w:hAnsi="Cambria Math" w:eastAsia="Batang"/>
          </w:rPr>
          <m:t>f</m:t>
        </m:r>
      </m:oMath>
      <w:r>
        <w:rPr>
          <w:rFonts w:eastAsia="Batang"/>
        </w:rPr>
        <w:t xml:space="preserve">, and the corresponding value of </w:t>
      </w:r>
      <m:oMath>
        <m:acc>
          <m:accPr>
            <m:chr m:val="̅"/>
            <m:ctrlPr>
              <w:rPr>
                <w:rFonts w:ascii="Cambria Math" w:hAnsi="Cambria Math" w:eastAsia="Batang"/>
                <w:i/>
              </w:rPr>
            </m:ctrlPr>
          </m:accPr>
          <m:e>
            <m:r>
              <m:rPr>
                <m:sty m:val="bi"/>
              </m:rPr>
              <w:rPr>
                <w:rFonts w:ascii="Cambria Math" w:hAnsi="Cambria Math" w:eastAsia="Batang"/>
              </w:rPr>
              <m:t>k</m:t>
            </m:r>
            <m:ctrlPr>
              <w:rPr>
                <w:rFonts w:ascii="Cambria Math" w:hAnsi="Cambria Math" w:eastAsia="Batang"/>
                <w:i/>
              </w:rPr>
            </m:ctrlPr>
          </m:e>
        </m:acc>
      </m:oMath>
      <w:r>
        <w:rPr>
          <w:rFonts w:eastAsia="Batang"/>
        </w:rPr>
        <w:t>.</w:t>
      </w:r>
    </w:p>
    <w:tbl>
      <w:tblPr>
        <w:tblStyle w:val="14"/>
        <w:tblW w:w="75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1559"/>
        <w:gridCol w:w="2483"/>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21"/>
              <w:rPr>
                <w:rFonts w:eastAsia="Batang"/>
              </w:rPr>
            </w:pPr>
            <w:r>
              <w:rPr>
                <w:rFonts w:eastAsia="Batang"/>
              </w:rPr>
              <w:object>
                <v:shape id="_x0000_i1025" o:spt="75" type="#_x0000_t75" style="height:15pt;width:20.2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p>
        </w:tc>
        <w:tc>
          <w:tcPr>
            <w:tcW w:w="1843" w:type="dxa"/>
            <w:shd w:val="clear" w:color="auto" w:fill="auto"/>
          </w:tcPr>
          <w:p>
            <w:pPr>
              <w:pStyle w:val="21"/>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ctrlPr>
                    <w:rPr>
                      <w:rFonts w:ascii="Cambria Math" w:hAnsi="Cambria Math"/>
                    </w:rPr>
                  </m:ctrlPr>
                </m:e>
                <m:sub>
                  <m:r>
                    <m:rPr>
                      <m:nor/>
                      <m:sty m:val="p"/>
                    </m:rPr>
                    <w:rPr>
                      <w:b w:val="0"/>
                      <w:i w:val="0"/>
                    </w:rPr>
                    <m:t>RA</m:t>
                  </m:r>
                  <m:ctrlPr>
                    <w:rPr>
                      <w:rFonts w:ascii="Cambria Math" w:hAnsi="Cambria Math"/>
                    </w:rPr>
                  </m:ctrlPr>
                </m:sub>
              </m:sSub>
            </m:oMath>
            <w:r>
              <w:rPr>
                <w:rFonts w:eastAsia="Batang"/>
              </w:rPr>
              <w:t xml:space="preserve"> for PRACH</w:t>
            </w:r>
          </w:p>
        </w:tc>
        <w:tc>
          <w:tcPr>
            <w:tcW w:w="1559" w:type="dxa"/>
            <w:shd w:val="clear" w:color="auto" w:fill="auto"/>
          </w:tcPr>
          <w:p>
            <w:pPr>
              <w:pStyle w:val="21"/>
              <w:jc w:val="left"/>
              <w:rPr>
                <w:rFonts w:eastAsia="Batang"/>
              </w:rPr>
            </w:pPr>
            <w:r>
              <w:rPr>
                <w:rFonts w:eastAsia="Batang"/>
                <w:position w:val="-10"/>
              </w:rPr>
              <w:object>
                <v:shape id="_x0000_i1026" o:spt="75" type="#_x0000_t75" style="height:15pt;width:15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eastAsia="Batang"/>
              </w:rPr>
              <w:t xml:space="preserve"> for PUSCH</w:t>
            </w:r>
          </w:p>
        </w:tc>
        <w:tc>
          <w:tcPr>
            <w:tcW w:w="2483" w:type="dxa"/>
            <w:shd w:val="clear" w:color="auto" w:fill="auto"/>
          </w:tcPr>
          <w:p>
            <w:pPr>
              <w:pStyle w:val="21"/>
              <w:rPr>
                <w:rFonts w:eastAsia="Batang"/>
              </w:rPr>
            </w:pPr>
            <w:r>
              <w:rPr>
                <w:rFonts w:eastAsia="Batang"/>
                <w:position w:val="-10"/>
              </w:rPr>
              <w:object>
                <v:shape id="_x0000_i1027" o:spt="75" type="#_x0000_t75" style="height:15.75pt;width:21pt;" o:ole="t" filled="f" o:preferrelative="t" stroked="f" coordsize="21600,21600">
                  <v:path/>
                  <v:fill on="f" focussize="0,0"/>
                  <v:stroke on="f" joinstyle="miter"/>
                  <v:imagedata r:id="rId16" o:title=""/>
                  <o:lock v:ext="edit" aspectratio="t"/>
                  <w10:wrap type="none"/>
                  <w10:anchorlock/>
                </v:shape>
                <o:OLEObject Type="Embed" ProgID="Equation.DSMT4" ShapeID="_x0000_i1027" DrawAspect="Content" ObjectID="_1468075727" r:id="rId15">
                  <o:LockedField>false</o:LockedField>
                </o:OLEObject>
              </w:object>
            </w:r>
            <w:r>
              <w:rPr>
                <w:rFonts w:eastAsia="Batang"/>
              </w:rPr>
              <w:t>, allocation expressed in number of RBs for PUSCH</w:t>
            </w:r>
          </w:p>
        </w:tc>
        <w:tc>
          <w:tcPr>
            <w:tcW w:w="777" w:type="dxa"/>
            <w:shd w:val="clear" w:color="auto" w:fill="auto"/>
          </w:tcPr>
          <w:p>
            <w:pPr>
              <w:pStyle w:val="21"/>
              <w:rPr>
                <w:rFonts w:eastAsia="Batang"/>
              </w:rPr>
            </w:pPr>
            <w:r>
              <w:rPr>
                <w:rFonts w:eastAsia="Batang"/>
                <w:position w:val="-6"/>
              </w:rPr>
              <w:object>
                <v:shape id="_x0000_i1028" o:spt="75" type="#_x0000_t75" style="height:15pt;width:9.75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22"/>
              <w:rPr>
                <w:rFonts w:eastAsia="Batang"/>
              </w:rPr>
            </w:pPr>
            <w:r>
              <w:rPr>
                <w:rFonts w:eastAsia="Batang"/>
              </w:rPr>
              <w:t>839</w:t>
            </w:r>
          </w:p>
        </w:tc>
        <w:tc>
          <w:tcPr>
            <w:tcW w:w="1843" w:type="dxa"/>
            <w:shd w:val="clear" w:color="auto" w:fill="auto"/>
          </w:tcPr>
          <w:p>
            <w:pPr>
              <w:pStyle w:val="22"/>
              <w:rPr>
                <w:rFonts w:eastAsia="Batang"/>
              </w:rPr>
            </w:pPr>
            <w:r>
              <w:rPr>
                <w:rFonts w:eastAsia="Batang"/>
              </w:rPr>
              <w:t>1.25</w:t>
            </w:r>
          </w:p>
        </w:tc>
        <w:tc>
          <w:tcPr>
            <w:tcW w:w="1559" w:type="dxa"/>
            <w:shd w:val="clear" w:color="auto" w:fill="auto"/>
          </w:tcPr>
          <w:p>
            <w:pPr>
              <w:pStyle w:val="22"/>
              <w:rPr>
                <w:rFonts w:eastAsia="Batang"/>
              </w:rPr>
            </w:pPr>
            <w:r>
              <w:rPr>
                <w:rFonts w:eastAsia="Batang"/>
              </w:rPr>
              <w:t>15</w:t>
            </w:r>
          </w:p>
        </w:tc>
        <w:tc>
          <w:tcPr>
            <w:tcW w:w="2483" w:type="dxa"/>
            <w:shd w:val="clear" w:color="auto" w:fill="auto"/>
          </w:tcPr>
          <w:p>
            <w:pPr>
              <w:pStyle w:val="22"/>
              <w:rPr>
                <w:rFonts w:eastAsia="Batang"/>
              </w:rPr>
            </w:pPr>
            <w:r>
              <w:rPr>
                <w:rFonts w:eastAsia="Batang"/>
              </w:rPr>
              <w:t>6</w:t>
            </w:r>
          </w:p>
        </w:tc>
        <w:tc>
          <w:tcPr>
            <w:tcW w:w="777" w:type="dxa"/>
            <w:shd w:val="clear" w:color="auto" w:fill="auto"/>
          </w:tcPr>
          <w:p>
            <w:pPr>
              <w:pStyle w:val="22"/>
              <w:rPr>
                <w:rFonts w:eastAsia="Batang"/>
              </w:rPr>
            </w:pPr>
            <w:r>
              <w:rPr>
                <w:rFonts w:eastAsia="Batang"/>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22"/>
              <w:rPr>
                <w:rFonts w:eastAsia="Batang"/>
              </w:rPr>
            </w:pPr>
            <w:r>
              <w:rPr>
                <w:rFonts w:eastAsia="Batang"/>
              </w:rPr>
              <w:t>839</w:t>
            </w:r>
          </w:p>
        </w:tc>
        <w:tc>
          <w:tcPr>
            <w:tcW w:w="1843" w:type="dxa"/>
            <w:shd w:val="clear" w:color="auto" w:fill="auto"/>
          </w:tcPr>
          <w:p>
            <w:pPr>
              <w:pStyle w:val="22"/>
              <w:rPr>
                <w:rFonts w:eastAsia="Batang"/>
              </w:rPr>
            </w:pPr>
            <w:r>
              <w:rPr>
                <w:rFonts w:eastAsia="Batang"/>
              </w:rPr>
              <w:t>1.25</w:t>
            </w:r>
          </w:p>
        </w:tc>
        <w:tc>
          <w:tcPr>
            <w:tcW w:w="1559" w:type="dxa"/>
            <w:shd w:val="clear" w:color="auto" w:fill="auto"/>
          </w:tcPr>
          <w:p>
            <w:pPr>
              <w:pStyle w:val="22"/>
              <w:rPr>
                <w:rFonts w:eastAsia="Batang"/>
              </w:rPr>
            </w:pPr>
            <w:r>
              <w:rPr>
                <w:rFonts w:eastAsia="Batang"/>
              </w:rPr>
              <w:t>30</w:t>
            </w:r>
          </w:p>
        </w:tc>
        <w:tc>
          <w:tcPr>
            <w:tcW w:w="2483" w:type="dxa"/>
            <w:shd w:val="clear" w:color="auto" w:fill="auto"/>
          </w:tcPr>
          <w:p>
            <w:pPr>
              <w:pStyle w:val="22"/>
              <w:rPr>
                <w:rFonts w:eastAsia="Batang"/>
              </w:rPr>
            </w:pPr>
            <w:r>
              <w:rPr>
                <w:rFonts w:eastAsia="Batang"/>
              </w:rPr>
              <w:t>3</w:t>
            </w:r>
          </w:p>
        </w:tc>
        <w:tc>
          <w:tcPr>
            <w:tcW w:w="777" w:type="dxa"/>
            <w:shd w:val="clear" w:color="auto" w:fill="auto"/>
          </w:tcPr>
          <w:p>
            <w:pPr>
              <w:pStyle w:val="22"/>
              <w:rPr>
                <w:rFonts w:eastAsia="Batang"/>
              </w:rPr>
            </w:pPr>
            <w:r>
              <w:rPr>
                <w:rFonts w:eastAsia="Batang"/>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 w:hRule="atLeast"/>
          <w:jc w:val="center"/>
        </w:trPr>
        <w:tc>
          <w:tcPr>
            <w:tcW w:w="846" w:type="dxa"/>
            <w:shd w:val="clear" w:color="auto" w:fill="auto"/>
          </w:tcPr>
          <w:p>
            <w:pPr>
              <w:pStyle w:val="22"/>
              <w:rPr>
                <w:rFonts w:eastAsia="Batang"/>
              </w:rPr>
            </w:pPr>
            <w:r>
              <w:rPr>
                <w:rFonts w:eastAsia="Batang"/>
              </w:rPr>
              <w:t>839</w:t>
            </w:r>
          </w:p>
        </w:tc>
        <w:tc>
          <w:tcPr>
            <w:tcW w:w="1843" w:type="dxa"/>
            <w:shd w:val="clear" w:color="auto" w:fill="auto"/>
          </w:tcPr>
          <w:p>
            <w:pPr>
              <w:pStyle w:val="22"/>
              <w:rPr>
                <w:rFonts w:eastAsia="Batang"/>
              </w:rPr>
            </w:pPr>
            <w:r>
              <w:rPr>
                <w:rFonts w:eastAsia="Batang"/>
              </w:rPr>
              <w:t>5</w:t>
            </w:r>
          </w:p>
        </w:tc>
        <w:tc>
          <w:tcPr>
            <w:tcW w:w="1559" w:type="dxa"/>
            <w:shd w:val="clear" w:color="auto" w:fill="auto"/>
          </w:tcPr>
          <w:p>
            <w:pPr>
              <w:pStyle w:val="22"/>
              <w:rPr>
                <w:rFonts w:eastAsia="Batang"/>
              </w:rPr>
            </w:pPr>
            <w:r>
              <w:rPr>
                <w:rFonts w:eastAsia="Batang"/>
              </w:rPr>
              <w:t>15</w:t>
            </w:r>
          </w:p>
        </w:tc>
        <w:tc>
          <w:tcPr>
            <w:tcW w:w="2483" w:type="dxa"/>
            <w:shd w:val="clear" w:color="auto" w:fill="auto"/>
          </w:tcPr>
          <w:p>
            <w:pPr>
              <w:pStyle w:val="22"/>
              <w:rPr>
                <w:rFonts w:eastAsia="Batang"/>
              </w:rPr>
            </w:pPr>
            <w:r>
              <w:rPr>
                <w:rFonts w:eastAsia="Batang"/>
              </w:rPr>
              <w:t>24</w:t>
            </w:r>
          </w:p>
        </w:tc>
        <w:tc>
          <w:tcPr>
            <w:tcW w:w="777" w:type="dxa"/>
            <w:shd w:val="clear" w:color="auto" w:fill="auto"/>
          </w:tcPr>
          <w:p>
            <w:pPr>
              <w:pStyle w:val="22"/>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22"/>
              <w:rPr>
                <w:rFonts w:eastAsia="Batang"/>
              </w:rPr>
            </w:pPr>
            <w:r>
              <w:rPr>
                <w:rFonts w:eastAsia="Batang"/>
              </w:rPr>
              <w:t>839</w:t>
            </w:r>
          </w:p>
        </w:tc>
        <w:tc>
          <w:tcPr>
            <w:tcW w:w="1843" w:type="dxa"/>
            <w:shd w:val="clear" w:color="auto" w:fill="auto"/>
          </w:tcPr>
          <w:p>
            <w:pPr>
              <w:pStyle w:val="22"/>
              <w:rPr>
                <w:rFonts w:eastAsia="Batang"/>
              </w:rPr>
            </w:pPr>
            <w:r>
              <w:rPr>
                <w:rFonts w:eastAsia="Batang"/>
              </w:rPr>
              <w:t>5</w:t>
            </w:r>
          </w:p>
        </w:tc>
        <w:tc>
          <w:tcPr>
            <w:tcW w:w="1559" w:type="dxa"/>
            <w:shd w:val="clear" w:color="auto" w:fill="auto"/>
          </w:tcPr>
          <w:p>
            <w:pPr>
              <w:pStyle w:val="22"/>
              <w:rPr>
                <w:rFonts w:eastAsia="Batang"/>
              </w:rPr>
            </w:pPr>
            <w:r>
              <w:rPr>
                <w:rFonts w:eastAsia="Batang"/>
              </w:rPr>
              <w:t>30</w:t>
            </w:r>
          </w:p>
        </w:tc>
        <w:tc>
          <w:tcPr>
            <w:tcW w:w="2483" w:type="dxa"/>
            <w:shd w:val="clear" w:color="auto" w:fill="auto"/>
          </w:tcPr>
          <w:p>
            <w:pPr>
              <w:pStyle w:val="22"/>
              <w:rPr>
                <w:rFonts w:eastAsia="Batang"/>
              </w:rPr>
            </w:pPr>
            <w:r>
              <w:rPr>
                <w:rFonts w:eastAsia="Batang"/>
              </w:rPr>
              <w:t>12</w:t>
            </w:r>
          </w:p>
        </w:tc>
        <w:tc>
          <w:tcPr>
            <w:tcW w:w="777" w:type="dxa"/>
            <w:shd w:val="clear" w:color="auto" w:fill="auto"/>
          </w:tcPr>
          <w:p>
            <w:pPr>
              <w:pStyle w:val="22"/>
              <w:rPr>
                <w:rFonts w:eastAsia="Batang"/>
              </w:rPr>
            </w:pPr>
            <w:r>
              <w:rPr>
                <w:rFonts w:eastAsia="Batang"/>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22"/>
              <w:rPr>
                <w:rFonts w:eastAsia="Batang"/>
              </w:rPr>
            </w:pPr>
            <w:r>
              <w:rPr>
                <w:rFonts w:eastAsia="Batang"/>
              </w:rPr>
              <w:t>139</w:t>
            </w:r>
          </w:p>
        </w:tc>
        <w:tc>
          <w:tcPr>
            <w:tcW w:w="1843" w:type="dxa"/>
            <w:shd w:val="clear" w:color="auto" w:fill="auto"/>
          </w:tcPr>
          <w:p>
            <w:pPr>
              <w:pStyle w:val="22"/>
              <w:rPr>
                <w:rFonts w:eastAsia="Batang"/>
              </w:rPr>
            </w:pPr>
            <w:r>
              <w:rPr>
                <w:rFonts w:eastAsia="Batang"/>
              </w:rPr>
              <w:t>15</w:t>
            </w:r>
          </w:p>
        </w:tc>
        <w:tc>
          <w:tcPr>
            <w:tcW w:w="1559" w:type="dxa"/>
            <w:shd w:val="clear" w:color="auto" w:fill="auto"/>
          </w:tcPr>
          <w:p>
            <w:pPr>
              <w:pStyle w:val="22"/>
              <w:rPr>
                <w:rFonts w:eastAsia="Batang"/>
              </w:rPr>
            </w:pPr>
            <w:r>
              <w:rPr>
                <w:rFonts w:eastAsia="Batang"/>
              </w:rPr>
              <w:t>15</w:t>
            </w:r>
          </w:p>
        </w:tc>
        <w:tc>
          <w:tcPr>
            <w:tcW w:w="2483" w:type="dxa"/>
            <w:shd w:val="clear" w:color="auto" w:fill="auto"/>
          </w:tcPr>
          <w:p>
            <w:pPr>
              <w:pStyle w:val="22"/>
              <w:rPr>
                <w:rFonts w:eastAsia="Batang"/>
              </w:rPr>
            </w:pPr>
            <w:r>
              <w:rPr>
                <w:rFonts w:eastAsia="Batang"/>
              </w:rPr>
              <w:t>12</w:t>
            </w:r>
          </w:p>
        </w:tc>
        <w:tc>
          <w:tcPr>
            <w:tcW w:w="777" w:type="dxa"/>
            <w:shd w:val="clear" w:color="auto" w:fill="auto"/>
          </w:tcPr>
          <w:p>
            <w:pPr>
              <w:pStyle w:val="22"/>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22"/>
              <w:rPr>
                <w:rFonts w:eastAsia="Batang"/>
              </w:rPr>
            </w:pPr>
            <w:r>
              <w:rPr>
                <w:rFonts w:eastAsia="Batang"/>
              </w:rPr>
              <w:t>139</w:t>
            </w:r>
          </w:p>
        </w:tc>
        <w:tc>
          <w:tcPr>
            <w:tcW w:w="1843" w:type="dxa"/>
            <w:shd w:val="clear" w:color="auto" w:fill="auto"/>
          </w:tcPr>
          <w:p>
            <w:pPr>
              <w:pStyle w:val="22"/>
              <w:rPr>
                <w:rFonts w:eastAsia="Batang"/>
              </w:rPr>
            </w:pPr>
            <w:r>
              <w:rPr>
                <w:rFonts w:eastAsia="Batang"/>
              </w:rPr>
              <w:t>15</w:t>
            </w:r>
          </w:p>
        </w:tc>
        <w:tc>
          <w:tcPr>
            <w:tcW w:w="1559" w:type="dxa"/>
            <w:shd w:val="clear" w:color="auto" w:fill="auto"/>
          </w:tcPr>
          <w:p>
            <w:pPr>
              <w:pStyle w:val="22"/>
              <w:rPr>
                <w:rFonts w:eastAsia="Batang"/>
              </w:rPr>
            </w:pPr>
            <w:r>
              <w:rPr>
                <w:rFonts w:eastAsia="Batang"/>
              </w:rPr>
              <w:t>30</w:t>
            </w:r>
          </w:p>
        </w:tc>
        <w:tc>
          <w:tcPr>
            <w:tcW w:w="2483" w:type="dxa"/>
            <w:shd w:val="clear" w:color="auto" w:fill="auto"/>
          </w:tcPr>
          <w:p>
            <w:pPr>
              <w:pStyle w:val="22"/>
              <w:rPr>
                <w:rFonts w:eastAsia="Batang"/>
              </w:rPr>
            </w:pPr>
            <w:r>
              <w:rPr>
                <w:rFonts w:eastAsia="Batang"/>
              </w:rPr>
              <w:t>6</w:t>
            </w:r>
          </w:p>
        </w:tc>
        <w:tc>
          <w:tcPr>
            <w:tcW w:w="777" w:type="dxa"/>
            <w:shd w:val="clear" w:color="auto" w:fill="auto"/>
          </w:tcPr>
          <w:p>
            <w:pPr>
              <w:pStyle w:val="22"/>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22"/>
              <w:rPr>
                <w:rFonts w:eastAsia="Batang"/>
              </w:rPr>
            </w:pPr>
            <w:r>
              <w:rPr>
                <w:rFonts w:eastAsia="Batang"/>
              </w:rPr>
              <w:t>139</w:t>
            </w:r>
          </w:p>
        </w:tc>
        <w:tc>
          <w:tcPr>
            <w:tcW w:w="1843" w:type="dxa"/>
            <w:shd w:val="clear" w:color="auto" w:fill="auto"/>
          </w:tcPr>
          <w:p>
            <w:pPr>
              <w:pStyle w:val="22"/>
              <w:rPr>
                <w:rFonts w:eastAsia="Batang"/>
              </w:rPr>
            </w:pPr>
            <w:r>
              <w:rPr>
                <w:rFonts w:eastAsia="Batang"/>
              </w:rPr>
              <w:t>30</w:t>
            </w:r>
          </w:p>
        </w:tc>
        <w:tc>
          <w:tcPr>
            <w:tcW w:w="1559" w:type="dxa"/>
            <w:shd w:val="clear" w:color="auto" w:fill="auto"/>
          </w:tcPr>
          <w:p>
            <w:pPr>
              <w:pStyle w:val="22"/>
              <w:rPr>
                <w:rFonts w:eastAsia="Batang"/>
              </w:rPr>
            </w:pPr>
            <w:r>
              <w:rPr>
                <w:rFonts w:eastAsia="Batang"/>
              </w:rPr>
              <w:t>15</w:t>
            </w:r>
          </w:p>
        </w:tc>
        <w:tc>
          <w:tcPr>
            <w:tcW w:w="2483" w:type="dxa"/>
            <w:shd w:val="clear" w:color="auto" w:fill="auto"/>
          </w:tcPr>
          <w:p>
            <w:pPr>
              <w:pStyle w:val="22"/>
              <w:rPr>
                <w:rFonts w:eastAsia="Batang"/>
              </w:rPr>
            </w:pPr>
            <w:r>
              <w:rPr>
                <w:rFonts w:eastAsia="Batang"/>
              </w:rPr>
              <w:t>24</w:t>
            </w:r>
          </w:p>
        </w:tc>
        <w:tc>
          <w:tcPr>
            <w:tcW w:w="777" w:type="dxa"/>
            <w:shd w:val="clear" w:color="auto" w:fill="auto"/>
          </w:tcPr>
          <w:p>
            <w:pPr>
              <w:pStyle w:val="22"/>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22"/>
              <w:rPr>
                <w:rFonts w:eastAsia="Batang"/>
              </w:rPr>
            </w:pPr>
            <w:r>
              <w:rPr>
                <w:rFonts w:eastAsia="Batang"/>
              </w:rPr>
              <w:t>139</w:t>
            </w:r>
          </w:p>
        </w:tc>
        <w:tc>
          <w:tcPr>
            <w:tcW w:w="1843" w:type="dxa"/>
            <w:shd w:val="clear" w:color="auto" w:fill="auto"/>
          </w:tcPr>
          <w:p>
            <w:pPr>
              <w:pStyle w:val="22"/>
              <w:rPr>
                <w:rFonts w:eastAsia="Batang"/>
              </w:rPr>
            </w:pPr>
            <w:r>
              <w:rPr>
                <w:rFonts w:eastAsia="Batang"/>
              </w:rPr>
              <w:t>30</w:t>
            </w:r>
          </w:p>
        </w:tc>
        <w:tc>
          <w:tcPr>
            <w:tcW w:w="1559" w:type="dxa"/>
            <w:shd w:val="clear" w:color="auto" w:fill="auto"/>
          </w:tcPr>
          <w:p>
            <w:pPr>
              <w:pStyle w:val="22"/>
              <w:rPr>
                <w:rFonts w:eastAsia="Batang"/>
              </w:rPr>
            </w:pPr>
            <w:r>
              <w:rPr>
                <w:rFonts w:eastAsia="Batang"/>
              </w:rPr>
              <w:t>30</w:t>
            </w:r>
          </w:p>
        </w:tc>
        <w:tc>
          <w:tcPr>
            <w:tcW w:w="2483" w:type="dxa"/>
            <w:shd w:val="clear" w:color="auto" w:fill="auto"/>
          </w:tcPr>
          <w:p>
            <w:pPr>
              <w:pStyle w:val="22"/>
              <w:rPr>
                <w:rFonts w:eastAsia="Batang"/>
              </w:rPr>
            </w:pPr>
            <w:r>
              <w:rPr>
                <w:rFonts w:eastAsia="Batang"/>
              </w:rPr>
              <w:t>12</w:t>
            </w:r>
          </w:p>
        </w:tc>
        <w:tc>
          <w:tcPr>
            <w:tcW w:w="777" w:type="dxa"/>
            <w:shd w:val="clear" w:color="auto" w:fill="auto"/>
          </w:tcPr>
          <w:p>
            <w:pPr>
              <w:pStyle w:val="22"/>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30</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15</w:t>
            </w:r>
          </w:p>
        </w:tc>
        <w:tc>
          <w:tcPr>
            <w:tcW w:w="2483"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96</w:t>
            </w:r>
          </w:p>
        </w:tc>
        <w:tc>
          <w:tcPr>
            <w:tcW w:w="777"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30</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30</w:t>
            </w:r>
          </w:p>
        </w:tc>
        <w:tc>
          <w:tcPr>
            <w:tcW w:w="2483"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48</w:t>
            </w:r>
          </w:p>
        </w:tc>
        <w:tc>
          <w:tcPr>
            <w:tcW w:w="777"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1151</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15</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15</w:t>
            </w:r>
          </w:p>
        </w:tc>
        <w:tc>
          <w:tcPr>
            <w:tcW w:w="2483"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96</w:t>
            </w:r>
          </w:p>
        </w:tc>
        <w:tc>
          <w:tcPr>
            <w:tcW w:w="777"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1151</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15</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30</w:t>
            </w:r>
          </w:p>
        </w:tc>
        <w:tc>
          <w:tcPr>
            <w:tcW w:w="2483"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48</w:t>
            </w:r>
          </w:p>
        </w:tc>
        <w:tc>
          <w:tcPr>
            <w:tcW w:w="777" w:type="dxa"/>
            <w:tcBorders>
              <w:top w:val="single" w:color="auto" w:sz="4" w:space="0"/>
              <w:left w:val="single" w:color="auto" w:sz="4" w:space="0"/>
              <w:bottom w:val="single" w:color="auto" w:sz="4" w:space="0"/>
              <w:right w:val="single" w:color="auto" w:sz="4" w:space="0"/>
            </w:tcBorders>
            <w:shd w:val="clear" w:color="auto" w:fill="auto"/>
          </w:tcPr>
          <w:p>
            <w:pPr>
              <w:pStyle w:val="22"/>
              <w:rPr>
                <w:rFonts w:eastAsia="Batang"/>
              </w:rPr>
            </w:pPr>
            <w:r>
              <w:rPr>
                <w:rFonts w:eastAsia="Batang"/>
              </w:rPr>
              <w:t>1</w:t>
            </w:r>
          </w:p>
        </w:tc>
      </w:tr>
    </w:tbl>
    <w:p>
      <w:pPr>
        <w:jc w:val="both"/>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To sum up, for 30 kHz SCS, 12 contiguous RBs are assumed to fit within the 5 MHz.</w:t>
      </w:r>
    </w:p>
    <w:p>
      <w:pPr>
        <w:jc w:val="both"/>
        <w:rPr>
          <w:rFonts w:hint="default"/>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  For 30KHz SCS, 12 contiguous RBs can be assumed to fit within the 5 MHz</w:t>
      </w:r>
    </w:p>
    <w:p>
      <w:pPr>
        <w:jc w:val="both"/>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When the UE bandwidth is reduced to 5MHz, the maximum PDCCH aggregation level is 8 (for 15KHz, 3 OS) or 2 (for 30KHz, 3 OS). This is not conducive to the coverage of cell edge users with poor channel conditions. Therefore, when the UE bandwidth is reduced to 5MHz, it is suggested that the number of symbols occupied by the control channel can be increased to improve the PDCCH aggregation level, thereby enhanc</w:t>
      </w:r>
      <w:r>
        <w:rPr>
          <w:rFonts w:hint="eastAsia" w:cs="Times New Roman"/>
          <w:sz w:val="21"/>
          <w:szCs w:val="22"/>
          <w:lang w:val="en-US" w:eastAsia="zh-CN"/>
        </w:rPr>
        <w:t>e</w:t>
      </w:r>
      <w:r>
        <w:rPr>
          <w:rFonts w:hint="eastAsia" w:ascii="Times New Roman" w:hAnsi="Times New Roman" w:cs="Times New Roman"/>
          <w:sz w:val="21"/>
          <w:szCs w:val="22"/>
          <w:lang w:val="en-US" w:eastAsia="zh-CN"/>
        </w:rPr>
        <w:t xml:space="preserve"> the coverage of cell edge users.</w:t>
      </w:r>
    </w:p>
    <w:p>
      <w:pPr>
        <w:jc w:val="both"/>
        <w:rPr>
          <w:rFonts w:hint="default"/>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2  </w:t>
      </w:r>
      <w:r>
        <w:rPr>
          <w:rFonts w:hint="default"/>
          <w:b/>
          <w:sz w:val="21"/>
          <w:szCs w:val="22"/>
          <w:lang w:val="en-US" w:eastAsia="zh-CN"/>
        </w:rPr>
        <w:t>For 5MHz bandwidth, it is recommended to increase the number of symbols occupied by the control channel to enhance cell coverage</w:t>
      </w:r>
      <w:r>
        <w:rPr>
          <w:rFonts w:hint="eastAsia"/>
          <w:b/>
          <w:sz w:val="21"/>
          <w:szCs w:val="22"/>
          <w:lang w:val="en-US" w:eastAsia="zh-CN"/>
        </w:rPr>
        <w:t xml:space="preserve"> </w:t>
      </w:r>
    </w:p>
    <w:p>
      <w:pPr>
        <w:pStyle w:val="3"/>
        <w:pBdr>
          <w:top w:val="none" w:color="auto" w:sz="0" w:space="0"/>
        </w:pBdr>
        <w:overflowPunct w:val="0"/>
        <w:autoSpaceDE w:val="0"/>
        <w:autoSpaceDN w:val="0"/>
        <w:adjustRightInd w:val="0"/>
        <w:spacing w:before="180" w:beforeLines="-2147483648" w:beforeAutospacing="0" w:after="180" w:afterLines="-2147483648" w:afterAutospacing="0" w:line="240" w:lineRule="auto"/>
        <w:ind w:left="1134" w:hanging="1134"/>
        <w:textAlignment w:val="baseline"/>
        <w:rPr>
          <w:rFonts w:hint="default" w:eastAsia="宋体" w:cs="Times New Roman"/>
          <w:b w:val="0"/>
          <w:bCs w:val="0"/>
          <w:kern w:val="0"/>
          <w:sz w:val="28"/>
          <w:szCs w:val="28"/>
          <w:lang w:val="en-US" w:eastAsia="zh-CN" w:bidi="ar-SA"/>
        </w:rPr>
      </w:pPr>
      <w:r>
        <w:rPr>
          <w:rFonts w:hint="eastAsia" w:eastAsia="宋体" w:cs="Times New Roman"/>
          <w:b w:val="0"/>
          <w:bCs w:val="0"/>
          <w:kern w:val="0"/>
          <w:sz w:val="28"/>
          <w:szCs w:val="28"/>
          <w:lang w:val="en-US" w:eastAsia="zh-CN" w:bidi="ar-SA"/>
        </w:rPr>
        <w:t>Reduced UE peak data rate in FR1</w:t>
      </w:r>
    </w:p>
    <w:tbl>
      <w:tblPr>
        <w:tblStyle w:val="1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855" w:type="dxa"/>
          </w:tcPr>
          <w:p>
            <w:pPr>
              <w:shd w:val="clear" w:color="auto" w:fill="FFFFFF"/>
              <w:overflowPunct w:val="0"/>
              <w:autoSpaceDE w:val="0"/>
              <w:autoSpaceDN w:val="0"/>
              <w:adjustRightInd w:val="0"/>
              <w:spacing w:line="231" w:lineRule="atLeast"/>
              <w:jc w:val="both"/>
              <w:textAlignment w:val="baseline"/>
              <w:rPr>
                <w:rFonts w:ascii="Times New Roman" w:hAnsi="Times New Roman" w:eastAsia="宋体"/>
                <w:szCs w:val="20"/>
                <w:highlight w:val="green"/>
                <w:lang w:val="en-US" w:eastAsia="zh-CN"/>
              </w:rPr>
            </w:pPr>
            <w:r>
              <w:rPr>
                <w:rFonts w:ascii="Times New Roman" w:hAnsi="Times New Roman" w:eastAsia="宋体"/>
                <w:szCs w:val="20"/>
                <w:highlight w:val="green"/>
                <w:shd w:val="clear" w:color="auto" w:fill="FFFF00"/>
                <w:lang w:val="en-US" w:eastAsia="zh-CN"/>
              </w:rPr>
              <w:t>Agreement</w:t>
            </w:r>
          </w:p>
          <w:p>
            <w:pPr>
              <w:numPr>
                <w:ilvl w:val="0"/>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following options for further UE peak rate reduction can be studied:</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Option PR1: Relaxation of the constraint  </w:t>
            </w:r>
            <m:oMath>
              <m:r>
                <w:rPr>
                  <w:rFonts w:ascii="Cambria Math" w:hAnsi="Cambria Math"/>
                  <w:szCs w:val="20"/>
                  <w:lang w:val="en-US"/>
                </w:rPr>
                <m:t>(</m:t>
              </m:r>
              <m:sSubSup>
                <m:sSubSupPr>
                  <m:ctrlPr>
                    <w:rPr>
                      <w:rFonts w:ascii="Cambria Math" w:hAnsi="Cambria Math"/>
                      <w:i/>
                      <w:iCs/>
                      <w:szCs w:val="20"/>
                    </w:rPr>
                  </m:ctrlPr>
                </m:sSubSupPr>
                <m:e>
                  <m:r>
                    <w:rPr>
                      <w:rFonts w:ascii="Cambria Math" w:hAnsi="Cambria Math"/>
                      <w:szCs w:val="20"/>
                    </w:rPr>
                    <m:t>v</m:t>
                  </m:r>
                  <m:ctrlPr>
                    <w:rPr>
                      <w:rFonts w:ascii="Cambria Math" w:hAnsi="Cambria Math"/>
                      <w:i/>
                      <w:iCs/>
                      <w:szCs w:val="20"/>
                    </w:rPr>
                  </m:ctrlPr>
                </m:e>
                <m:sub>
                  <m:r>
                    <w:rPr>
                      <w:rFonts w:ascii="Cambria Math" w:hAnsi="Cambria Math"/>
                      <w:szCs w:val="20"/>
                    </w:rPr>
                    <m:t>Layers</m:t>
                  </m:r>
                  <m:ctrlPr>
                    <w:rPr>
                      <w:rFonts w:ascii="Cambria Math" w:hAnsi="Cambria Math"/>
                      <w:i/>
                      <w:iCs/>
                      <w:szCs w:val="20"/>
                    </w:rPr>
                  </m:ctrlPr>
                </m:sub>
                <m:sup>
                  <m:d>
                    <m:dPr>
                      <m:ctrlPr>
                        <w:rPr>
                          <w:rFonts w:ascii="Cambria Math" w:hAnsi="Cambria Math"/>
                          <w:i/>
                          <w:szCs w:val="20"/>
                        </w:rPr>
                      </m:ctrlPr>
                    </m:dPr>
                    <m:e>
                      <m:r>
                        <w:rPr>
                          <w:rFonts w:ascii="Cambria Math" w:hAnsi="Cambria Math"/>
                          <w:szCs w:val="20"/>
                        </w:rPr>
                        <m:t>j</m:t>
                      </m:r>
                      <m:ctrlPr>
                        <w:rPr>
                          <w:rFonts w:ascii="Cambria Math" w:hAnsi="Cambria Math"/>
                          <w:i/>
                          <w:szCs w:val="20"/>
                        </w:rPr>
                      </m:ctrlPr>
                    </m:e>
                  </m:d>
                  <m:ctrlPr>
                    <w:rPr>
                      <w:rFonts w:ascii="Cambria Math" w:hAnsi="Cambria Math"/>
                      <w:i/>
                      <w:iCs/>
                      <w:szCs w:val="20"/>
                    </w:rPr>
                  </m:ctrlPr>
                </m:sup>
              </m:sSubSup>
              <m:r>
                <w:rPr>
                  <w:rFonts w:ascii="Cambria Math" w:hAnsi="Cambria Math"/>
                  <w:szCs w:val="20"/>
                  <w:lang w:val="en-US"/>
                </w:rPr>
                <m:t>⋅</m:t>
              </m:r>
              <m:sSubSup>
                <m:sSubSupPr>
                  <m:ctrlPr>
                    <w:rPr>
                      <w:rFonts w:ascii="Cambria Math" w:hAnsi="Cambria Math"/>
                      <w:i/>
                      <w:iCs/>
                      <w:szCs w:val="20"/>
                    </w:rPr>
                  </m:ctrlPr>
                </m:sSubSupPr>
                <m:e>
                  <m:r>
                    <w:rPr>
                      <w:rFonts w:ascii="Cambria Math" w:hAnsi="Cambria Math"/>
                      <w:szCs w:val="20"/>
                    </w:rPr>
                    <m:t>Q</m:t>
                  </m:r>
                  <m:ctrlPr>
                    <w:rPr>
                      <w:rFonts w:ascii="Cambria Math" w:hAnsi="Cambria Math"/>
                      <w:i/>
                      <w:iCs/>
                      <w:szCs w:val="20"/>
                    </w:rPr>
                  </m:ctrlPr>
                </m:e>
                <m:sub>
                  <m:r>
                    <w:rPr>
                      <w:rFonts w:ascii="Cambria Math" w:hAnsi="Cambria Math"/>
                      <w:szCs w:val="20"/>
                    </w:rPr>
                    <m:t>m</m:t>
                  </m:r>
                  <m:ctrlPr>
                    <w:rPr>
                      <w:rFonts w:ascii="Cambria Math" w:hAnsi="Cambria Math"/>
                      <w:i/>
                      <w:iCs/>
                      <w:szCs w:val="20"/>
                    </w:rPr>
                  </m:ctrlPr>
                </m:sub>
                <m:sup>
                  <m:d>
                    <m:dPr>
                      <m:ctrlPr>
                        <w:rPr>
                          <w:rFonts w:ascii="Cambria Math" w:hAnsi="Cambria Math"/>
                          <w:i/>
                          <w:iCs/>
                          <w:szCs w:val="20"/>
                        </w:rPr>
                      </m:ctrlPr>
                    </m:dPr>
                    <m:e>
                      <m:r>
                        <w:rPr>
                          <w:rFonts w:ascii="Cambria Math" w:hAnsi="Cambria Math"/>
                          <w:szCs w:val="20"/>
                        </w:rPr>
                        <m:t>j</m:t>
                      </m:r>
                      <m:ctrlPr>
                        <w:rPr>
                          <w:rFonts w:ascii="Cambria Math" w:hAnsi="Cambria Math"/>
                          <w:i/>
                          <w:iCs/>
                          <w:szCs w:val="20"/>
                        </w:rPr>
                      </m:ctrlPr>
                    </m:e>
                  </m:d>
                  <m:ctrlPr>
                    <w:rPr>
                      <w:rFonts w:ascii="Cambria Math" w:hAnsi="Cambria Math"/>
                      <w:i/>
                      <w:iCs/>
                      <w:szCs w:val="20"/>
                    </w:rPr>
                  </m:ctrlPr>
                </m:sup>
              </m:sSubSup>
              <m:r>
                <w:rPr>
                  <w:rFonts w:ascii="Cambria Math" w:hAnsi="Cambria Math"/>
                  <w:szCs w:val="20"/>
                  <w:lang w:val="en-US"/>
                </w:rPr>
                <m:t>⋅</m:t>
              </m:r>
              <m:sSup>
                <m:sSupPr>
                  <m:ctrlPr>
                    <w:rPr>
                      <w:rFonts w:ascii="Cambria Math" w:hAnsi="Cambria Math"/>
                      <w:iCs/>
                      <w:szCs w:val="20"/>
                    </w:rPr>
                  </m:ctrlPr>
                </m:sSupPr>
                <m:e>
                  <m:r>
                    <w:rPr>
                      <w:rFonts w:ascii="Cambria Math" w:hAnsi="Cambria Math"/>
                      <w:szCs w:val="20"/>
                    </w:rPr>
                    <m:t>f</m:t>
                  </m:r>
                  <m:ctrlPr>
                    <w:rPr>
                      <w:rFonts w:ascii="Cambria Math" w:hAnsi="Cambria Math"/>
                      <w:iCs/>
                      <w:szCs w:val="20"/>
                    </w:rPr>
                  </m:ctrlPr>
                </m:e>
                <m:sup>
                  <m:d>
                    <m:dPr>
                      <m:ctrlPr>
                        <w:rPr>
                          <w:rFonts w:ascii="Cambria Math" w:hAnsi="Cambria Math"/>
                          <w:i/>
                          <w:iCs/>
                          <w:szCs w:val="20"/>
                        </w:rPr>
                      </m:ctrlPr>
                    </m:dPr>
                    <m:e>
                      <m:r>
                        <w:rPr>
                          <w:rFonts w:ascii="Cambria Math" w:hAnsi="Cambria Math"/>
                          <w:szCs w:val="20"/>
                        </w:rPr>
                        <m:t>j</m:t>
                      </m:r>
                      <m:ctrlPr>
                        <w:rPr>
                          <w:rFonts w:ascii="Cambria Math" w:hAnsi="Cambria Math"/>
                          <w:i/>
                          <w:iCs/>
                          <w:szCs w:val="20"/>
                        </w:rPr>
                      </m:ctrlPr>
                    </m:e>
                  </m:d>
                  <m:ctrlPr>
                    <w:rPr>
                      <w:rFonts w:ascii="Cambria Math" w:hAnsi="Cambria Math"/>
                      <w:iCs/>
                      <w:szCs w:val="20"/>
                    </w:rPr>
                  </m:ctrlPr>
                </m:sup>
              </m:sSup>
              <m:r>
                <w:rPr>
                  <w:rFonts w:ascii="Cambria Math" w:hAnsi="Cambria Math"/>
                  <w:szCs w:val="20"/>
                  <w:lang w:val="en-US"/>
                </w:rPr>
                <m:t>≥4)</m:t>
              </m:r>
            </m:oMath>
            <w:r>
              <w:rPr>
                <w:rFonts w:ascii="Times New Roman" w:hAnsi="Times New Roman"/>
                <w:iCs/>
                <w:szCs w:val="20"/>
                <w:lang w:val="en-US"/>
              </w:rPr>
              <w:t xml:space="preserve"> </w:t>
            </w:r>
            <w:r>
              <w:rPr>
                <w:rFonts w:ascii="Times New Roman" w:hAnsi="Times New Roman" w:eastAsia="Microsoft YaHei UI"/>
                <w:szCs w:val="20"/>
                <w:lang w:val="en-US" w:eastAsia="zh-CN"/>
              </w:rPr>
              <w:t>for peak data rate reduction.</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Option PR2: Restriction of maximum TBS for PDSCH and PUSCH.</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Option PR3: Restriction of maximum number of PRBs for PDSCH and PUSCH.</w:t>
            </w:r>
          </w:p>
          <w:p>
            <w:pPr>
              <w:numPr>
                <w:ilvl w:val="0"/>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At least the following cases are studied:</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studied peak rate reduction applies to both UE-specific (unicast) and common (broadcast) channels.</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resource allocation spans a bandwidth of maximum 20 MHz (maximum UE channel bandwidth).</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same option is used for UL and DL.</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The same option is used for idle/inactive and connected mode.</w:t>
            </w:r>
          </w:p>
          <w:p>
            <w:pPr>
              <w:numPr>
                <w:ilvl w:val="1"/>
                <w:numId w:val="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szCs w:val="20"/>
                <w:lang w:val="en-US" w:eastAsia="zh-CN"/>
              </w:rPr>
            </w:pPr>
            <w:r>
              <w:rPr>
                <w:rFonts w:ascii="Times New Roman" w:hAnsi="Times New Roman" w:eastAsia="Microsoft YaHei UI"/>
                <w:szCs w:val="20"/>
                <w:lang w:val="en-US" w:eastAsia="zh-CN"/>
              </w:rPr>
              <w:t>It is FFS whether to study other cases.</w:t>
            </w:r>
          </w:p>
          <w:p>
            <w:pPr>
              <w:numPr>
                <w:ilvl w:val="0"/>
                <w:numId w:val="5"/>
              </w:numPr>
              <w:shd w:val="clear" w:color="auto" w:fill="FFFFFF"/>
              <w:overflowPunct w:val="0"/>
              <w:autoSpaceDE w:val="0"/>
              <w:autoSpaceDN w:val="0"/>
              <w:adjustRightInd w:val="0"/>
              <w:spacing w:line="231" w:lineRule="atLeast"/>
              <w:jc w:val="both"/>
              <w:textAlignment w:val="baseline"/>
              <w:rPr>
                <w:rFonts w:hint="default"/>
                <w:vertAlign w:val="baseline"/>
                <w:lang w:val="en-US" w:eastAsia="zh-CN"/>
              </w:rPr>
            </w:pPr>
            <w:r>
              <w:rPr>
                <w:rFonts w:ascii="Times New Roman" w:hAnsi="Times New Roman" w:eastAsia="Microsoft YaHei UI"/>
                <w:szCs w:val="20"/>
                <w:lang w:val="en-US" w:eastAsia="zh-CN"/>
              </w:rPr>
              <w:t>Note: As part of study of above options, it is not precluded to indicate that an observation is relevant for UL only or DL only.</w:t>
            </w:r>
          </w:p>
          <w:p>
            <w:pPr>
              <w:overflowPunct w:val="0"/>
              <w:autoSpaceDE w:val="0"/>
              <w:autoSpaceDN w:val="0"/>
              <w:adjustRightInd w:val="0"/>
              <w:textAlignment w:val="baseline"/>
              <w:rPr>
                <w:rFonts w:ascii="Times New Roman" w:hAnsi="Times New Roman"/>
                <w:szCs w:val="20"/>
                <w:highlight w:val="green"/>
                <w:lang w:val="en-US" w:eastAsia="zh-CN"/>
              </w:rPr>
            </w:pPr>
            <w:r>
              <w:rPr>
                <w:rFonts w:ascii="Times New Roman" w:hAnsi="Times New Roman"/>
                <w:szCs w:val="20"/>
                <w:highlight w:val="green"/>
                <w:shd w:val="clear" w:color="auto" w:fill="FFFF00"/>
                <w:lang w:val="en-US" w:eastAsia="zh-CN"/>
              </w:rPr>
              <w:t>Agreement</w:t>
            </w:r>
          </w:p>
          <w:p>
            <w:pPr>
              <w:pStyle w:val="18"/>
              <w:numPr>
                <w:ilvl w:val="0"/>
                <w:numId w:val="6"/>
              </w:numPr>
              <w:overflowPunct w:val="0"/>
              <w:autoSpaceDE w:val="0"/>
              <w:autoSpaceDN w:val="0"/>
              <w:adjustRightInd w:val="0"/>
              <w:textAlignment w:val="baseline"/>
              <w:rPr>
                <w:lang w:val="en-US" w:eastAsia="zh-CN"/>
              </w:rPr>
            </w:pPr>
            <w:r>
              <w:rPr>
                <w:lang w:val="en-US" w:eastAsia="zh-CN"/>
              </w:rPr>
              <w:t>For Option PR1,</w:t>
            </w:r>
          </w:p>
          <w:p>
            <w:pPr>
              <w:pStyle w:val="18"/>
              <w:numPr>
                <w:ilvl w:val="1"/>
                <w:numId w:val="6"/>
              </w:numPr>
              <w:overflowPunct w:val="0"/>
              <w:autoSpaceDE w:val="0"/>
              <w:autoSpaceDN w:val="0"/>
              <w:adjustRightInd w:val="0"/>
              <w:textAlignment w:val="baseline"/>
              <w:rPr>
                <w:lang w:val="en-US" w:eastAsia="zh-CN"/>
              </w:rPr>
            </w:pPr>
            <w:r>
              <w:rPr>
                <w:lang w:val="en-US" w:eastAsia="zh-CN"/>
              </w:rPr>
              <w:t>The relaxed constraint is 1 (instead of 4).</w:t>
            </w:r>
          </w:p>
          <w:p>
            <w:pPr>
              <w:pStyle w:val="18"/>
              <w:numPr>
                <w:ilvl w:val="1"/>
                <w:numId w:val="6"/>
              </w:numPr>
              <w:overflowPunct w:val="0"/>
              <w:autoSpaceDE w:val="0"/>
              <w:autoSpaceDN w:val="0"/>
              <w:adjustRightInd w:val="0"/>
              <w:textAlignment w:val="baseline"/>
              <w:rPr>
                <w:lang w:val="en-US" w:eastAsia="zh-CN"/>
              </w:rPr>
            </w:pPr>
            <w:r>
              <w:rPr>
                <w:lang w:val="en-US" w:eastAsia="zh-CN"/>
              </w:rPr>
              <w:t>Other values for the relaxed constraint that meet the 10-Mbps peak rate target can optionally be studied.</w:t>
            </w:r>
          </w:p>
          <w:p>
            <w:pPr>
              <w:pStyle w:val="18"/>
              <w:numPr>
                <w:ilvl w:val="1"/>
                <w:numId w:val="6"/>
              </w:numPr>
              <w:overflowPunct w:val="0"/>
              <w:autoSpaceDE w:val="0"/>
              <w:autoSpaceDN w:val="0"/>
              <w:adjustRightInd w:val="0"/>
              <w:textAlignment w:val="baseline"/>
              <w:rPr>
                <w:lang w:val="en-US" w:eastAsia="zh-CN"/>
              </w:rPr>
            </w:pPr>
            <w:r>
              <w:rPr>
                <w:lang w:val="en-US" w:eastAsia="zh-CN"/>
              </w:rPr>
              <w:t>The parameters (</w:t>
            </w:r>
            <w:r>
              <w:rPr>
                <w:lang w:val="en-US" w:eastAsia="zh-CN"/>
              </w:rPr>
              <w:fldChar w:fldCharType="begin"/>
            </w:r>
            <w:r>
              <w:rPr>
                <w:lang w:val="en-US" w:eastAsia="zh-CN"/>
              </w:rPr>
              <w:instrText xml:space="preserve"> INCLUDEPICTURE "C:\\Users\\cmcc\\AppData\\Roaming\\Foxmail7\\Temp-9192-20220519203036\\Attach\\image001(05-19-20-35-18)(1).png" \* MERGEFORMATINET </w:instrText>
            </w:r>
            <w:r>
              <w:rPr>
                <w:lang w:val="en-US" w:eastAsia="zh-CN"/>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drawing>
                <wp:inline distT="0" distB="0" distL="114300" distR="114300">
                  <wp:extent cx="352425" cy="209550"/>
                  <wp:effectExtent l="0" t="0" r="31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r:link="rId6"/>
                          <a:stretch>
                            <a:fillRect/>
                          </a:stretch>
                        </pic:blipFill>
                        <pic:spPr>
                          <a:xfrm>
                            <a:off x="0" y="0"/>
                            <a:ext cx="352425" cy="209550"/>
                          </a:xfrm>
                          <a:prstGeom prst="rect">
                            <a:avLst/>
                          </a:prstGeom>
                          <a:noFill/>
                          <a:ln>
                            <a:noFill/>
                          </a:ln>
                        </pic:spPr>
                      </pic:pic>
                    </a:graphicData>
                  </a:graphic>
                </wp:inline>
              </w:drawing>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eastAsia="zh-CN"/>
              </w:rPr>
              <w:fldChar w:fldCharType="end"/>
            </w:r>
            <w:r>
              <w:rPr>
                <w:lang w:val="en-US" w:eastAsia="zh-CN"/>
              </w:rPr>
              <w:t>, </w:t>
            </w:r>
            <w:r>
              <w:rPr>
                <w:lang w:val="en-US" w:eastAsia="zh-CN"/>
              </w:rPr>
              <w:fldChar w:fldCharType="begin"/>
            </w:r>
            <w:r>
              <w:rPr>
                <w:lang w:val="en-US" w:eastAsia="zh-CN"/>
              </w:rPr>
              <w:instrText xml:space="preserve"> INCLUDEPICTURE "C:\\Users\\cmcc\\AppData\\Roaming\\Foxmail7\\Temp-9192-20220519203036\\Attach\\image002(05-19-20-35-18)(1).png" \* MERGEFORMATINET </w:instrText>
            </w:r>
            <w:r>
              <w:rPr>
                <w:lang w:val="en-US" w:eastAsia="zh-CN"/>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"C:\\Users\\cmcc\\AppData\\Roaming\\Foxmail7\\Temp-9192-20220519203036\\Attach\\image002(05-19-20-35-18)(1).png" \* MERGEFORMATINET </w:instrText>
            </w:r>
            <w:r>
              <w:rPr>
                <w:lang w:val="en-US"/>
              </w:rPr>
              <w:fldChar w:fldCharType="separate"/>
            </w:r>
            <w:r>
              <w:rPr>
                <w:lang w:val="en-US"/>
              </w:rPr>
              <w:drawing>
                <wp:inline distT="0" distB="0" distL="114300" distR="114300">
                  <wp:extent cx="219075" cy="180975"/>
                  <wp:effectExtent l="0" t="0" r="9525"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r:link="rId8"/>
                          <a:stretch>
                            <a:fillRect/>
                          </a:stretch>
                        </pic:blipFill>
                        <pic:spPr>
                          <a:xfrm>
                            <a:off x="0" y="0"/>
                            <a:ext cx="219075" cy="180975"/>
                          </a:xfrm>
                          <a:prstGeom prst="rect">
                            <a:avLst/>
                          </a:prstGeom>
                          <a:noFill/>
                          <a:ln>
                            <a:noFill/>
                          </a:ln>
                        </pic:spPr>
                      </pic:pic>
                    </a:graphicData>
                  </a:graphic>
                </wp:inline>
              </w:drawing>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eastAsia="zh-CN"/>
              </w:rPr>
              <w:fldChar w:fldCharType="end"/>
            </w:r>
            <w:r>
              <w:rPr>
                <w:lang w:val="en-US" w:eastAsia="zh-CN"/>
              </w:rPr>
              <w:t>, </w:t>
            </w:r>
            <w:r>
              <w:rPr>
                <w:lang w:val="en-US" w:eastAsia="zh-CN"/>
              </w:rPr>
              <w:fldChar w:fldCharType="begin"/>
            </w:r>
            <w:r>
              <w:rPr>
                <w:lang w:val="en-US" w:eastAsia="zh-CN"/>
              </w:rPr>
              <w:instrText xml:space="preserve"> INCLUDEPICTURE "C:\\Users\\cmcc\\AppData\\Roaming\\Foxmail7\\Temp-9192-20220519203036\\Attach\\image003(05-19-20-35-18)(1).png" \* MERGEFORMATINET </w:instrText>
            </w:r>
            <w:r>
              <w:rPr>
                <w:lang w:val="en-US" w:eastAsia="zh-CN"/>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"C:\\Users\\cmcc\\AppData\\Roaming\\Foxmail7\\Temp-9192-20220519203036\\Attach\\image003(05-19-20-35-18)(1).png" \* MERGEFORMATINET </w:instrText>
            </w:r>
            <w:r>
              <w:rPr>
                <w:lang w:val="en-US"/>
              </w:rPr>
              <w:fldChar w:fldCharType="separate"/>
            </w:r>
            <w:r>
              <w:rPr>
                <w:lang w:val="en-US"/>
              </w:rPr>
              <w:drawing>
                <wp:inline distT="0" distB="0" distL="114300" distR="114300">
                  <wp:extent cx="200025" cy="171450"/>
                  <wp:effectExtent l="0" t="0" r="3175" b="571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9" r:link="rId10"/>
                          <a:stretch>
                            <a:fillRect/>
                          </a:stretch>
                        </pic:blipFill>
                        <pic:spPr>
                          <a:xfrm>
                            <a:off x="0" y="0"/>
                            <a:ext cx="200025" cy="171450"/>
                          </a:xfrm>
                          <a:prstGeom prst="rect">
                            <a:avLst/>
                          </a:prstGeom>
                          <a:noFill/>
                          <a:ln>
                            <a:noFill/>
                          </a:ln>
                        </pic:spPr>
                      </pic:pic>
                    </a:graphicData>
                  </a:graphic>
                </wp:inline>
              </w:drawing>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eastAsia="zh-CN"/>
              </w:rPr>
              <w:fldChar w:fldCharType="end"/>
            </w:r>
            <w:r>
              <w:rPr>
                <w:lang w:val="en-US" w:eastAsia="zh-CN"/>
              </w:rPr>
              <w:t>) [38.306] can be as in Rel-17 RedCap.</w:t>
            </w:r>
          </w:p>
          <w:p>
            <w:pPr>
              <w:pStyle w:val="18"/>
              <w:numPr>
                <w:ilvl w:val="0"/>
                <w:numId w:val="6"/>
              </w:numPr>
              <w:overflowPunct w:val="0"/>
              <w:autoSpaceDE w:val="0"/>
              <w:autoSpaceDN w:val="0"/>
              <w:adjustRightInd w:val="0"/>
              <w:textAlignment w:val="baseline"/>
              <w:rPr>
                <w:lang w:val="en-US" w:eastAsia="zh-CN"/>
              </w:rPr>
            </w:pPr>
            <w:r>
              <w:rPr>
                <w:lang w:val="en-US" w:eastAsia="zh-CN"/>
              </w:rPr>
              <w:t>For Option PR2,</w:t>
            </w:r>
          </w:p>
          <w:p>
            <w:pPr>
              <w:pStyle w:val="18"/>
              <w:numPr>
                <w:ilvl w:val="1"/>
                <w:numId w:val="6"/>
              </w:numPr>
              <w:overflowPunct w:val="0"/>
              <w:autoSpaceDE w:val="0"/>
              <w:autoSpaceDN w:val="0"/>
              <w:adjustRightInd w:val="0"/>
              <w:textAlignment w:val="baseline"/>
              <w:rPr>
                <w:lang w:val="en-US" w:eastAsia="zh-CN"/>
              </w:rPr>
            </w:pPr>
            <w:r>
              <w:rPr>
                <w:lang w:val="en-US" w:eastAsia="zh-CN"/>
              </w:rPr>
              <w:t>For 15 kHz SCS, the maximum TBS is 10000 bits</w:t>
            </w:r>
            <w:r>
              <w:rPr>
                <w:highlight w:val="none"/>
                <w:lang w:val="en-US" w:eastAsia="zh-CN"/>
              </w:rPr>
              <w:t xml:space="preserve"> per TB and per slot.</w:t>
            </w:r>
          </w:p>
          <w:p>
            <w:pPr>
              <w:pStyle w:val="18"/>
              <w:numPr>
                <w:ilvl w:val="1"/>
                <w:numId w:val="6"/>
              </w:numPr>
              <w:overflowPunct w:val="0"/>
              <w:autoSpaceDE w:val="0"/>
              <w:autoSpaceDN w:val="0"/>
              <w:adjustRightInd w:val="0"/>
              <w:textAlignment w:val="baseline"/>
              <w:rPr>
                <w:lang w:val="en-US" w:eastAsia="zh-CN"/>
              </w:rPr>
            </w:pPr>
            <w:r>
              <w:rPr>
                <w:lang w:val="en-US" w:eastAsia="zh-CN"/>
              </w:rPr>
              <w:t>For 30 kHz SCS, the maximum TBS is 5000 bits per TB and per slot.</w:t>
            </w:r>
          </w:p>
          <w:p>
            <w:pPr>
              <w:pStyle w:val="18"/>
              <w:numPr>
                <w:ilvl w:val="0"/>
                <w:numId w:val="6"/>
              </w:numPr>
              <w:overflowPunct w:val="0"/>
              <w:autoSpaceDE w:val="0"/>
              <w:autoSpaceDN w:val="0"/>
              <w:adjustRightInd w:val="0"/>
              <w:textAlignment w:val="baseline"/>
              <w:rPr>
                <w:lang w:val="en-US" w:eastAsia="zh-CN"/>
              </w:rPr>
            </w:pPr>
            <w:r>
              <w:rPr>
                <w:lang w:val="en-US" w:eastAsia="zh-CN"/>
              </w:rPr>
              <w:t>For Option PR3,</w:t>
            </w:r>
          </w:p>
          <w:p>
            <w:pPr>
              <w:pStyle w:val="18"/>
              <w:numPr>
                <w:ilvl w:val="1"/>
                <w:numId w:val="6"/>
              </w:numPr>
              <w:overflowPunct w:val="0"/>
              <w:autoSpaceDE w:val="0"/>
              <w:autoSpaceDN w:val="0"/>
              <w:adjustRightInd w:val="0"/>
              <w:textAlignment w:val="baseline"/>
              <w:rPr>
                <w:lang w:val="en-US" w:eastAsia="zh-CN"/>
              </w:rPr>
            </w:pPr>
            <w:r>
              <w:rPr>
                <w:lang w:val="en-US" w:eastAsia="zh-CN"/>
              </w:rPr>
              <w:t>For 15 kHz SCS, the maximum number of RBs is 25.</w:t>
            </w:r>
          </w:p>
          <w:p>
            <w:pPr>
              <w:pStyle w:val="18"/>
              <w:numPr>
                <w:ilvl w:val="1"/>
                <w:numId w:val="6"/>
              </w:numPr>
              <w:overflowPunct w:val="0"/>
              <w:autoSpaceDE w:val="0"/>
              <w:autoSpaceDN w:val="0"/>
              <w:adjustRightInd w:val="0"/>
              <w:textAlignment w:val="baseline"/>
              <w:rPr>
                <w:lang w:val="en-US" w:eastAsia="zh-CN"/>
              </w:rPr>
            </w:pPr>
            <w:r>
              <w:rPr>
                <w:lang w:val="en-US" w:eastAsia="zh-CN"/>
              </w:rPr>
              <w:t>For 30 kHz SCS, the maximum number of RBs is 11.</w:t>
            </w:r>
          </w:p>
          <w:p>
            <w:pPr>
              <w:pStyle w:val="18"/>
              <w:numPr>
                <w:ilvl w:val="1"/>
                <w:numId w:val="6"/>
              </w:numPr>
              <w:overflowPunct w:val="0"/>
              <w:autoSpaceDE w:val="0"/>
              <w:autoSpaceDN w:val="0"/>
              <w:adjustRightInd w:val="0"/>
              <w:textAlignment w:val="baseline"/>
              <w:rPr>
                <w:lang w:val="en-US" w:eastAsia="zh-CN"/>
              </w:rPr>
            </w:pPr>
            <w:r>
              <w:rPr>
                <w:lang w:val="en-US" w:eastAsia="zh-CN"/>
              </w:rPr>
              <w:t>Other number of RBs that meet the 10-Mbps peak rate target can optionally be studied.</w:t>
            </w:r>
          </w:p>
          <w:p>
            <w:pPr>
              <w:pStyle w:val="18"/>
              <w:numPr>
                <w:ilvl w:val="0"/>
                <w:numId w:val="6"/>
              </w:numPr>
              <w:overflowPunct w:val="0"/>
              <w:autoSpaceDE w:val="0"/>
              <w:autoSpaceDN w:val="0"/>
              <w:adjustRightInd w:val="0"/>
              <w:textAlignment w:val="baseline"/>
              <w:rPr>
                <w:lang w:val="en-US" w:eastAsia="zh-CN"/>
              </w:rPr>
            </w:pPr>
            <w:r>
              <w:rPr>
                <w:lang w:val="en-US" w:eastAsia="zh-CN"/>
              </w:rPr>
              <w:t>Note: It is not precluded to report results also for other values.</w:t>
            </w:r>
          </w:p>
          <w:p>
            <w:pPr>
              <w:pStyle w:val="18"/>
              <w:numPr>
                <w:ilvl w:val="0"/>
                <w:numId w:val="6"/>
              </w:numPr>
              <w:overflowPunct w:val="0"/>
              <w:autoSpaceDE w:val="0"/>
              <w:autoSpaceDN w:val="0"/>
              <w:adjustRightInd w:val="0"/>
              <w:textAlignment w:val="baseline"/>
              <w:rPr>
                <w:rFonts w:hint="default"/>
                <w:vertAlign w:val="baseline"/>
                <w:lang w:val="en-US" w:eastAsia="zh-CN"/>
              </w:rPr>
            </w:pPr>
            <w:r>
              <w:rPr>
                <w:lang w:val="en-US" w:eastAsia="zh-CN"/>
              </w:rPr>
              <w:t>Relevant assumptions (e.g., regarding potential limitations of the TBS sum in case of more than one simultaneous TB) should be reported.</w:t>
            </w:r>
          </w:p>
        </w:tc>
      </w:tr>
    </w:tbl>
    <w:p>
      <w:pPr>
        <w:jc w:val="both"/>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According to 38.306, the approximate data rate for a given number of aggregated carriers in a band or band combination is computed as follows.</w:t>
      </w:r>
    </w:p>
    <w:p>
      <w:pPr>
        <w:jc w:val="center"/>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zh-CN"/>
        </w:rPr>
        <w:object>
          <v:shape id="_x0000_i1029" o:spt="75" type="#_x0000_t75" style="height:34.5pt;width:330pt;" o:ole="t" filled="f" o:preferrelative="t" stroked="f" coordsize="21600,21600">
            <v:path/>
            <v:fill on="f" focussize="0,0"/>
            <v:stroke on="f" joinstyle="miter"/>
            <v:imagedata r:id="rId20" o:title=""/>
            <o:lock v:ext="edit" aspectratio="t"/>
            <w10:wrap type="none"/>
            <w10:anchorlock/>
          </v:shape>
          <o:OLEObject Type="Embed" ProgID="Equation.3" ShapeID="_x0000_i1029" DrawAspect="Content" ObjectID="_1468075729" r:id="rId19">
            <o:LockedField>false</o:LockedField>
          </o:OLEObject>
        </w:object>
      </w:r>
    </w:p>
    <w:p>
      <w:pPr>
        <w:jc w:val="both"/>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Wherein J is the number of aggregated component carriers in a band or band combination. For the j-th CC,</w:t>
      </w:r>
      <w:bookmarkStart w:id="5" w:name="OLE_LINK8"/>
      <w:r>
        <w:rPr>
          <w:rFonts w:hint="eastAsia" w:ascii="Times New Roman" w:hAnsi="Times New Roman" w:cs="Times New Roman"/>
          <w:sz w:val="21"/>
          <w:szCs w:val="22"/>
          <w:lang w:val="en-US" w:eastAsia="zh-CN"/>
        </w:rPr>
        <w:t xml:space="preserve"> </w:t>
      </w:r>
      <w:r>
        <w:rPr>
          <w:rFonts w:hint="eastAsia" w:ascii="Times New Roman" w:hAnsi="Times New Roman" w:cs="Times New Roman"/>
          <w:position w:val="-12"/>
          <w:sz w:val="21"/>
          <w:szCs w:val="22"/>
          <w:lang w:val="en-US" w:eastAsia="zh-CN"/>
        </w:rPr>
        <w:object>
          <v:shape id="_x0000_i1030" o:spt="75" type="#_x0000_t75" style="height:18.75pt;width:17.25pt;" o:ole="t" filled="f" o:preferrelative="t" stroked="f" coordsize="21600,21600">
            <v:path/>
            <v:fill on="f" focussize="0,0"/>
            <v:stroke on="f"/>
            <v:imagedata r:id="rId22" o:title=""/>
            <o:lock v:ext="edit" aspectratio="t"/>
            <w10:wrap type="none"/>
            <w10:anchorlock/>
          </v:shape>
          <o:OLEObject Type="Embed" ProgID="Equation.3" ShapeID="_x0000_i1030" DrawAspect="Content" ObjectID="_1468075730" r:id="rId21">
            <o:LockedField>false</o:LockedField>
          </o:OLEObject>
        </w:object>
      </w:r>
      <w:bookmarkEnd w:id="5"/>
      <w:r>
        <w:rPr>
          <w:rFonts w:hint="eastAsia" w:ascii="Times New Roman" w:hAnsi="Times New Roman" w:cs="Times New Roman"/>
          <w:sz w:val="21"/>
          <w:szCs w:val="22"/>
          <w:lang w:val="en-US" w:eastAsia="zh-CN"/>
        </w:rPr>
        <w:t xml:space="preserve"> is the average OFDM symbol duration in a subframe for numerology </w:t>
      </w:r>
      <w:r>
        <w:rPr>
          <w:rFonts w:hint="eastAsia" w:ascii="Times New Roman" w:hAnsi="Times New Roman" w:cs="Times New Roman"/>
          <w:position w:val="-10"/>
          <w:sz w:val="21"/>
          <w:szCs w:val="22"/>
          <w:lang w:val="en-US" w:eastAsia="zh-CN"/>
        </w:rPr>
        <w:object>
          <v:shape id="_x0000_i1031" o:spt="75" type="#_x0000_t75" style="height:13pt;width:12.3pt;" o:ole="t" filled="f" o:preferrelative="t" stroked="f" coordsize="21600,21600">
            <v:path/>
            <v:fill on="f" focussize="0,0"/>
            <v:stroke on="f"/>
            <v:imagedata r:id="rId24" o:title=""/>
            <o:lock v:ext="edit" aspectratio="t"/>
            <w10:wrap type="none"/>
            <w10:anchorlock/>
          </v:shape>
          <o:OLEObject Type="Embed" ProgID="Equation.3" ShapeID="_x0000_i1031" DrawAspect="Content" ObjectID="_1468075731" r:id="rId23">
            <o:LockedField>false</o:LockedField>
          </o:OLEObject>
        </w:object>
      </w:r>
      <w:r>
        <w:rPr>
          <w:rFonts w:hint="eastAsia" w:ascii="Times New Roman" w:hAnsi="Times New Roman" w:cs="Times New Roman"/>
          <w:sz w:val="21"/>
          <w:szCs w:val="22"/>
          <w:lang w:val="en-US" w:eastAsia="zh-CN"/>
        </w:rPr>
        <w:t xml:space="preserve">, i.e. </w:t>
      </w:r>
      <w:r>
        <w:rPr>
          <w:rFonts w:hint="eastAsia" w:ascii="Times New Roman" w:hAnsi="Times New Roman" w:cs="Times New Roman"/>
          <w:position w:val="-24"/>
          <w:sz w:val="21"/>
          <w:szCs w:val="22"/>
          <w:lang w:val="en-US" w:eastAsia="zh-CN"/>
        </w:rPr>
        <w:object>
          <v:shape id="_x0000_i1032" o:spt="75" type="#_x0000_t75" style="height:31.6pt;width:62.35pt;" o:ole="t" filled="f" o:preferrelative="t" stroked="f" coordsize="21600,21600">
            <v:path/>
            <v:fill on="f" focussize="0,0"/>
            <v:stroke on="f"/>
            <v:imagedata r:id="rId26" o:title=""/>
            <o:lock v:ext="edit" aspectratio="t"/>
            <w10:wrap type="none"/>
            <w10:anchorlock/>
          </v:shape>
          <o:OLEObject Type="Embed" ProgID="Equation.3" ShapeID="_x0000_i1032" DrawAspect="Content" ObjectID="_1468075732" r:id="rId25">
            <o:LockedField>false</o:LockedField>
          </o:OLEObject>
        </w:object>
      </w:r>
      <w:r>
        <w:rPr>
          <w:rFonts w:hint="eastAsia" w:ascii="Times New Roman" w:hAnsi="Times New Roman" w:cs="Times New Roman"/>
          <w:sz w:val="21"/>
          <w:szCs w:val="22"/>
          <w:lang w:val="en-US" w:eastAsia="zh-CN"/>
        </w:rPr>
        <w:t xml:space="preserve">.  </w:t>
      </w:r>
    </w:p>
    <w:p>
      <w:pPr>
        <w:jc w:val="both"/>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According to the above expression of 38.306, the granularity of data rate calculation is one subframe.</w:t>
      </w:r>
    </w:p>
    <w:p>
      <w:pPr>
        <w:jc w:val="both"/>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Furthermore, one slot in NR supports at most two PDSCH transmissions, so it is necessary to set a maximum TBS value that includes the sum of the TBSs of all PDSCHs in one slot.</w:t>
      </w:r>
    </w:p>
    <w:p>
      <w:pPr>
        <w:jc w:val="both"/>
        <w:rPr>
          <w:rFonts w:hint="default"/>
          <w:b/>
          <w:sz w:val="21"/>
          <w:szCs w:val="22"/>
          <w:lang w:val="en-US" w:eastAsia="zh-CN"/>
        </w:rPr>
      </w:pPr>
      <w:r>
        <w:rPr>
          <w:rFonts w:hint="default"/>
          <w:b/>
          <w:sz w:val="21"/>
          <w:szCs w:val="22"/>
          <w:lang w:val="en-US" w:eastAsia="zh-CN"/>
        </w:rPr>
        <w:t xml:space="preserve">Proposal 3  </w:t>
      </w:r>
      <w:r>
        <w:rPr>
          <w:rFonts w:hint="eastAsia"/>
          <w:b/>
          <w:sz w:val="21"/>
          <w:szCs w:val="22"/>
          <w:lang w:val="en-US" w:eastAsia="zh-CN"/>
        </w:rPr>
        <w:t>T</w:t>
      </w:r>
      <w:r>
        <w:rPr>
          <w:rFonts w:hint="default"/>
          <w:b/>
          <w:sz w:val="21"/>
          <w:szCs w:val="22"/>
          <w:lang w:val="en-US" w:eastAsia="zh-CN"/>
        </w:rPr>
        <w:t>he maximum TBS value should include the sum of TBS(s) of all PDSCH(s) in a slot.</w:t>
      </w:r>
    </w:p>
    <w:p>
      <w:pPr>
        <w:jc w:val="both"/>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According to the agreement of RAN1#109e, the upper limit of TBS of R18 Redcap UE is different from that of traditional UE, so it is recommended to set a new MCS table to ensure that R18 Redcap UE can obtain the most suitable MCS and maximum</w:t>
      </w:r>
      <w:r>
        <w:rPr>
          <w:rFonts w:hint="default" w:ascii="Times New Roman" w:hAnsi="Times New Roman" w:cs="Times New Roman"/>
          <w:sz w:val="21"/>
          <w:szCs w:val="22"/>
          <w:lang w:val="en-US" w:eastAsia="zh-CN"/>
        </w:rPr>
        <w:t xml:space="preserve"> possible throughput under the current channel conditions</w:t>
      </w:r>
      <w:r>
        <w:rPr>
          <w:rFonts w:hint="eastAsia" w:cs="Times New Roman"/>
          <w:sz w:val="21"/>
          <w:szCs w:val="22"/>
          <w:lang w:val="en-US" w:eastAsia="zh-CN"/>
        </w:rPr>
        <w:t>.</w:t>
      </w:r>
    </w:p>
    <w:p>
      <w:pPr>
        <w:jc w:val="both"/>
        <w:rPr>
          <w:rFonts w:hint="eastAsia"/>
          <w:b/>
          <w:sz w:val="21"/>
          <w:szCs w:val="22"/>
          <w:lang w:val="en-US" w:eastAsia="zh-CN"/>
        </w:rPr>
      </w:pPr>
      <w:r>
        <w:rPr>
          <w:rFonts w:hint="default"/>
          <w:b/>
          <w:sz w:val="21"/>
          <w:szCs w:val="22"/>
          <w:lang w:val="en-US" w:eastAsia="zh-CN"/>
        </w:rPr>
        <w:t>Proposal</w:t>
      </w:r>
      <w:r>
        <w:rPr>
          <w:rFonts w:hint="eastAsia"/>
          <w:b/>
          <w:sz w:val="21"/>
          <w:szCs w:val="22"/>
          <w:lang w:val="en-US" w:eastAsia="zh-CN"/>
        </w:rPr>
        <w:t xml:space="preserve"> 4  It is recommended to set a new MCS table for R18 Redcap UE to meet peak rate requirements.</w:t>
      </w:r>
    </w:p>
    <w:p>
      <w:pPr>
        <w:pStyle w:val="3"/>
        <w:pBdr>
          <w:top w:val="none" w:color="auto" w:sz="0" w:space="0"/>
        </w:pBdr>
        <w:overflowPunct w:val="0"/>
        <w:autoSpaceDE w:val="0"/>
        <w:autoSpaceDN w:val="0"/>
        <w:adjustRightInd w:val="0"/>
        <w:spacing w:before="180" w:beforeLines="-2147483648" w:beforeAutospacing="0" w:after="180" w:afterLines="-2147483648" w:afterAutospacing="0" w:line="240" w:lineRule="auto"/>
        <w:ind w:left="1134" w:hanging="1134"/>
        <w:textAlignment w:val="baseline"/>
        <w:rPr>
          <w:rFonts w:hint="default" w:eastAsia="宋体" w:cs="Times New Roman"/>
          <w:b w:val="0"/>
          <w:bCs w:val="0"/>
          <w:kern w:val="0"/>
          <w:sz w:val="28"/>
          <w:szCs w:val="28"/>
          <w:lang w:val="en-US" w:eastAsia="zh-CN" w:bidi="ar-SA"/>
        </w:rPr>
      </w:pPr>
      <w:r>
        <w:rPr>
          <w:rFonts w:hint="default" w:eastAsia="宋体" w:cs="Times New Roman"/>
          <w:b w:val="0"/>
          <w:bCs w:val="0"/>
          <w:kern w:val="0"/>
          <w:sz w:val="28"/>
          <w:szCs w:val="28"/>
          <w:lang w:val="en-US" w:eastAsia="zh-CN" w:bidi="ar-SA"/>
        </w:rPr>
        <w:t>Relaxed UE processing time</w:t>
      </w:r>
    </w:p>
    <w:tbl>
      <w:tblPr>
        <w:tblStyle w:val="1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overflowPunct w:val="0"/>
              <w:autoSpaceDE w:val="0"/>
              <w:autoSpaceDN w:val="0"/>
              <w:adjustRightInd w:val="0"/>
              <w:spacing w:line="231" w:lineRule="atLeast"/>
              <w:textAlignment w:val="baseline"/>
              <w:rPr>
                <w:rFonts w:ascii="Times New Roman" w:hAnsi="Times New Roman" w:eastAsia="Microsoft YaHei UI"/>
                <w:color w:val="000000"/>
                <w:szCs w:val="20"/>
                <w:highlight w:val="green"/>
                <w:lang w:val="en-US" w:eastAsia="zh-CN"/>
              </w:rPr>
            </w:pPr>
            <w:r>
              <w:rPr>
                <w:rFonts w:hint="eastAsia" w:ascii="Times New Roman" w:hAnsi="Times New Roman" w:eastAsia="Microsoft YaHei UI"/>
                <w:color w:val="000000"/>
                <w:szCs w:val="20"/>
                <w:highlight w:val="green"/>
                <w:lang w:val="en-US" w:eastAsia="zh-CN"/>
              </w:rPr>
              <w:t>Agreement</w:t>
            </w:r>
          </w:p>
          <w:p>
            <w:pPr>
              <w:pStyle w:val="18"/>
              <w:numPr>
                <w:ilvl w:val="0"/>
                <w:numId w:val="7"/>
              </w:numPr>
              <w:tabs>
                <w:tab w:val="left" w:pos="772"/>
              </w:tabs>
              <w:overflowPunct/>
              <w:autoSpaceDE/>
              <w:autoSpaceDN/>
              <w:adjustRightInd/>
              <w:spacing w:after="100" w:afterAutospacing="1" w:line="252" w:lineRule="auto"/>
              <w:textAlignment w:val="auto"/>
              <w:rPr>
                <w:lang w:val="en-US"/>
              </w:rPr>
            </w:pPr>
            <w:r>
              <w:rPr>
                <w:lang w:val="en-US"/>
              </w:rPr>
              <w:t>The following options for relaxed UE processing timeline will be studied:</w:t>
            </w:r>
          </w:p>
          <w:p>
            <w:pPr>
              <w:pStyle w:val="18"/>
              <w:numPr>
                <w:ilvl w:val="1"/>
                <w:numId w:val="7"/>
              </w:numPr>
              <w:overflowPunct/>
              <w:autoSpaceDE/>
              <w:autoSpaceDN/>
              <w:adjustRightInd/>
              <w:spacing w:line="252" w:lineRule="auto"/>
              <w:textAlignment w:val="auto"/>
              <w:rPr>
                <w:lang w:val="en-US"/>
              </w:rPr>
            </w:pPr>
            <w:r>
              <w:rPr>
                <w:lang w:val="en-US"/>
              </w:rPr>
              <w:t>Option PT1: Relaxation of UE processing time for PDSCH</w:t>
            </w:r>
            <w:r>
              <w:rPr>
                <w:rFonts w:eastAsia="等线"/>
                <w:lang w:val="en-US" w:eastAsia="zh-CN"/>
              </w:rPr>
              <w:t xml:space="preserve">/PUSCH </w:t>
            </w:r>
            <w:r>
              <w:rPr>
                <w:lang w:val="en-US"/>
              </w:rPr>
              <w:t>in terms of N</w:t>
            </w:r>
            <w:r>
              <w:rPr>
                <w:vertAlign w:val="subscript"/>
                <w:lang w:val="en-US"/>
              </w:rPr>
              <w:t>1</w:t>
            </w:r>
            <w:r>
              <w:rPr>
                <w:lang w:val="en-US"/>
              </w:rPr>
              <w:t xml:space="preserve"> and N</w:t>
            </w:r>
            <w:r>
              <w:rPr>
                <w:vertAlign w:val="subscript"/>
                <w:lang w:val="en-US"/>
              </w:rPr>
              <w:t>2</w:t>
            </w:r>
          </w:p>
          <w:p>
            <w:pPr>
              <w:pStyle w:val="18"/>
              <w:numPr>
                <w:ilvl w:val="1"/>
                <w:numId w:val="7"/>
              </w:numPr>
              <w:overflowPunct/>
              <w:autoSpaceDE/>
              <w:autoSpaceDN/>
              <w:adjustRightInd/>
              <w:spacing w:line="252" w:lineRule="auto"/>
              <w:textAlignment w:val="auto"/>
              <w:rPr>
                <w:lang w:val="en-US"/>
              </w:rPr>
            </w:pPr>
            <w:r>
              <w:rPr>
                <w:lang w:val="en-US"/>
              </w:rPr>
              <w:t>Option PT2: Relaxation of UE processing time for CSI in terms of Z and Z</w:t>
            </w:r>
            <w:r>
              <w:rPr>
                <w:color w:val="FF0000"/>
                <w:lang w:val="en-US"/>
              </w:rPr>
              <w:t>’</w:t>
            </w:r>
          </w:p>
          <w:p>
            <w:pPr>
              <w:pStyle w:val="18"/>
              <w:numPr>
                <w:ilvl w:val="0"/>
                <w:numId w:val="7"/>
              </w:numPr>
              <w:tabs>
                <w:tab w:val="left" w:pos="772"/>
              </w:tabs>
              <w:overflowPunct/>
              <w:autoSpaceDE/>
              <w:autoSpaceDN/>
              <w:adjustRightInd/>
              <w:spacing w:after="100" w:afterAutospacing="1" w:line="252" w:lineRule="auto"/>
              <w:textAlignment w:val="auto"/>
              <w:rPr>
                <w:rFonts w:hint="default"/>
                <w:vertAlign w:val="baseline"/>
                <w:lang w:val="en-US" w:eastAsia="zh-CN"/>
              </w:rPr>
            </w:pPr>
            <w:r>
              <w:rPr>
                <w:lang w:val="en-US"/>
              </w:rPr>
              <w:t>UE complexity reduction estimates for relaxed UE processing timeline are only reported for combinations with UE bandwidth reduction or UE peak rate reduction.</w:t>
            </w:r>
          </w:p>
          <w:p>
            <w:pPr>
              <w:overflowPunct w:val="0"/>
              <w:autoSpaceDE w:val="0"/>
              <w:autoSpaceDN w:val="0"/>
              <w:adjustRightInd w:val="0"/>
              <w:textAlignment w:val="baseline"/>
              <w:rPr>
                <w:highlight w:val="green"/>
                <w:lang w:val="en-US" w:eastAsia="zh-CN"/>
              </w:rPr>
            </w:pPr>
            <w:r>
              <w:rPr>
                <w:rFonts w:hint="eastAsia"/>
                <w:highlight w:val="green"/>
                <w:lang w:val="en-US" w:eastAsia="zh-CN"/>
              </w:rPr>
              <w:t>Agreement</w:t>
            </w:r>
          </w:p>
          <w:p>
            <w:pPr>
              <w:numPr>
                <w:ilvl w:val="0"/>
                <w:numId w:val="8"/>
              </w:numPr>
              <w:overflowPunct w:val="0"/>
              <w:autoSpaceDE w:val="0"/>
              <w:autoSpaceDN w:val="0"/>
              <w:adjustRightInd w:val="0"/>
              <w:spacing w:line="231" w:lineRule="atLeast"/>
              <w:textAlignment w:val="baseline"/>
              <w:rPr>
                <w:rFonts w:eastAsia="Microsoft YaHei UI" w:cs="Times"/>
                <w:color w:val="000000"/>
                <w:szCs w:val="20"/>
              </w:rPr>
            </w:pPr>
            <w:r>
              <w:rPr>
                <w:rFonts w:ascii="Times New Roman" w:hAnsi="Times New Roman" w:eastAsia="Microsoft YaHei UI"/>
                <w:color w:val="000000"/>
                <w:szCs w:val="20"/>
                <w:lang w:val="en-US" w:eastAsia="zh-CN"/>
              </w:rPr>
              <w:t>In Option PT1, the relaxation factor for N1 and N2 is 2.</w:t>
            </w:r>
          </w:p>
          <w:p>
            <w:pPr>
              <w:numPr>
                <w:ilvl w:val="0"/>
                <w:numId w:val="8"/>
              </w:numPr>
              <w:overflowPunct w:val="0"/>
              <w:autoSpaceDE w:val="0"/>
              <w:autoSpaceDN w:val="0"/>
              <w:adjustRightInd w:val="0"/>
              <w:spacing w:line="231" w:lineRule="atLeast"/>
              <w:textAlignment w:val="baseline"/>
              <w:rPr>
                <w:rFonts w:eastAsia="Microsoft YaHei UI" w:cs="Times"/>
                <w:color w:val="000000"/>
                <w:szCs w:val="20"/>
              </w:rPr>
            </w:pPr>
            <w:r>
              <w:rPr>
                <w:rFonts w:ascii="Times New Roman" w:hAnsi="Times New Roman" w:eastAsia="Microsoft YaHei UI"/>
                <w:color w:val="000000"/>
                <w:szCs w:val="20"/>
                <w:lang w:val="en-US" w:eastAsia="zh-CN"/>
              </w:rPr>
              <w:t>In Option PT2, the relaxation factor for Z and Z’ is 2.</w:t>
            </w:r>
          </w:p>
          <w:p>
            <w:pPr>
              <w:numPr>
                <w:ilvl w:val="0"/>
                <w:numId w:val="8"/>
              </w:numPr>
              <w:overflowPunct w:val="0"/>
              <w:autoSpaceDE w:val="0"/>
              <w:autoSpaceDN w:val="0"/>
              <w:adjustRightInd w:val="0"/>
              <w:spacing w:line="231" w:lineRule="atLeast"/>
              <w:textAlignment w:val="baseline"/>
              <w:rPr>
                <w:rFonts w:hint="default"/>
                <w:vertAlign w:val="baseline"/>
                <w:lang w:val="en-US" w:eastAsia="zh-CN"/>
              </w:rPr>
            </w:pPr>
            <w:r>
              <w:rPr>
                <w:rFonts w:ascii="Times New Roman" w:hAnsi="Times New Roman" w:eastAsia="Microsoft YaHei UI"/>
                <w:color w:val="000000"/>
                <w:szCs w:val="20"/>
                <w:lang w:val="en-US" w:eastAsia="zh-CN"/>
              </w:rPr>
              <w:t>The combination of Options PT1 and PT2 is also studied.</w:t>
            </w:r>
          </w:p>
        </w:tc>
      </w:tr>
    </w:tbl>
    <w:p>
      <w:pPr>
        <w:jc w:val="both"/>
        <w:rPr>
          <w:rFonts w:hint="eastAsia" w:ascii="Times New Roman" w:hAnsi="Times New Roman" w:cs="Times New Roman"/>
          <w:sz w:val="21"/>
          <w:szCs w:val="22"/>
          <w:lang w:val="en-US" w:eastAsia="zh-CN"/>
        </w:rPr>
      </w:pPr>
      <w:bookmarkStart w:id="6" w:name="_Hlk55146228"/>
      <w:r>
        <w:rPr>
          <w:rFonts w:hint="eastAsia" w:ascii="Times New Roman" w:hAnsi="Times New Roman" w:cs="Times New Roman"/>
          <w:sz w:val="21"/>
          <w:szCs w:val="22"/>
          <w:lang w:val="en-US" w:eastAsia="zh-CN"/>
        </w:rPr>
        <w:t>According to 38.213 and the agreement of RAN1#109e, we can obtain the N1 and N2 values under different UE capabilities and conditions as shown in Table 1~Table 4.</w:t>
      </w:r>
    </w:p>
    <w:p>
      <w:pPr>
        <w:jc w:val="center"/>
        <w:rPr>
          <w:rFonts w:hint="default" w:ascii="Times New Roman" w:hAnsi="Times New Roman" w:cs="Times New Roman" w:eastAsiaTheme="minorEastAsia"/>
          <w:sz w:val="21"/>
          <w:szCs w:val="21"/>
          <w:lang w:val="en-GB" w:eastAsia="zh-CN"/>
        </w:rPr>
      </w:pPr>
      <w:r>
        <w:rPr>
          <w:rFonts w:hint="default" w:ascii="Times New Roman" w:hAnsi="Times New Roman" w:cs="Times New Roman" w:eastAsiaTheme="minorEastAsia"/>
          <w:sz w:val="21"/>
          <w:szCs w:val="21"/>
          <w:lang w:val="en-US" w:eastAsia="zh-CN"/>
        </w:rPr>
        <w:t>Table 1</w:t>
      </w:r>
      <w:r>
        <w:rPr>
          <w:rFonts w:hint="default" w:ascii="Times New Roman" w:hAnsi="Times New Roman" w:cs="Times New Roman" w:eastAsiaTheme="minorEastAsia"/>
          <w:sz w:val="21"/>
          <w:szCs w:val="21"/>
          <w:lang w:val="en-GB" w:eastAsia="zh-CN"/>
        </w:rPr>
        <w:t>: PDSCH processing time for</w:t>
      </w:r>
      <w:r>
        <w:rPr>
          <w:rFonts w:hint="default" w:ascii="Times New Roman" w:hAnsi="Times New Roman" w:cs="Times New Roman" w:eastAsiaTheme="minorEastAsia"/>
          <w:sz w:val="21"/>
          <w:szCs w:val="21"/>
          <w:lang w:val="en-US" w:eastAsia="zh-CN"/>
        </w:rPr>
        <w:t xml:space="preserve"> R18 Redcap UE PDSCH processing </w:t>
      </w:r>
      <w:r>
        <w:rPr>
          <w:rFonts w:hint="default" w:ascii="Times New Roman" w:hAnsi="Times New Roman" w:cs="Times New Roman" w:eastAsiaTheme="minorEastAsia"/>
          <w:sz w:val="21"/>
          <w:szCs w:val="21"/>
          <w:lang w:val="en-GB" w:eastAsia="zh-CN"/>
        </w:rPr>
        <w:t>capability 1</w:t>
      </w:r>
    </w:p>
    <w:tbl>
      <w:tblPr>
        <w:tblStyle w:val="14"/>
        <w:tblW w:w="83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773"/>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Merge w:val="restart"/>
            <w:shd w:val="clear" w:color="auto" w:fill="auto"/>
            <w:vAlign w:val="center"/>
          </w:tcPr>
          <w:p>
            <w:pPr>
              <w:jc w:val="center"/>
              <w:rPr>
                <w:rFonts w:hint="default" w:ascii="Times New Roman" w:hAnsi="Times New Roman" w:cs="Times New Roman" w:eastAsiaTheme="minorEastAsia"/>
                <w:sz w:val="21"/>
                <w:szCs w:val="21"/>
                <w:lang w:val="en-GB" w:eastAsia="zh-CN"/>
              </w:rPr>
            </w:pPr>
            <w:r>
              <w:rPr>
                <w:rFonts w:hint="default" w:ascii="Times New Roman" w:hAnsi="Times New Roman" w:cs="Times New Roman" w:eastAsiaTheme="minorEastAsia"/>
                <w:sz w:val="21"/>
                <w:szCs w:val="21"/>
                <w:lang w:val="en-GB" w:eastAsia="zh-CN"/>
              </w:rPr>
              <w:object>
                <v:shape id="_x0000_i1033" o:spt="75" type="#_x0000_t75" style="height:14.25pt;width:14.25pt;" o:ole="t" filled="f" o:preferrelative="t" stroked="f" coordsize="21600,21600">
                  <v:path/>
                  <v:fill on="f" focussize="0,0"/>
                  <v:stroke on="f" joinstyle="miter"/>
                  <v:imagedata r:id="rId28" o:title=""/>
                  <o:lock v:ext="edit" aspectratio="t"/>
                  <w10:wrap type="none"/>
                  <w10:anchorlock/>
                </v:shape>
                <o:OLEObject Type="Embed" ProgID="Equation.3" ShapeID="_x0000_i1033" DrawAspect="Content" ObjectID="_1468075733" r:id="rId27">
                  <o:LockedField>false</o:LockedField>
                </o:OLEObject>
              </w:object>
            </w:r>
          </w:p>
        </w:tc>
        <w:tc>
          <w:tcPr>
            <w:tcW w:w="7547" w:type="dxa"/>
            <w:gridSpan w:val="2"/>
            <w:shd w:val="clear" w:color="auto" w:fill="auto"/>
          </w:tcPr>
          <w:p>
            <w:pPr>
              <w:jc w:val="center"/>
              <w:rPr>
                <w:rFonts w:hint="default" w:ascii="Times New Roman" w:hAnsi="Times New Roman" w:cs="Times New Roman" w:eastAsiaTheme="minorEastAsia"/>
                <w:sz w:val="21"/>
                <w:szCs w:val="21"/>
                <w:lang w:val="en-GB" w:eastAsia="zh-CN"/>
              </w:rPr>
            </w:pPr>
            <w:r>
              <w:rPr>
                <w:rFonts w:hint="default" w:ascii="Times New Roman" w:hAnsi="Times New Roman" w:cs="Times New Roman" w:eastAsiaTheme="minorEastAsia"/>
                <w:sz w:val="21"/>
                <w:szCs w:val="21"/>
                <w:lang w:val="en-GB" w:eastAsia="zh-CN"/>
              </w:rPr>
              <w:t>PDSCH decoding time N1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Merge w:val="continue"/>
            <w:shd w:val="clear" w:color="auto" w:fill="auto"/>
          </w:tcPr>
          <w:p>
            <w:pPr>
              <w:jc w:val="center"/>
              <w:rPr>
                <w:rFonts w:hint="default" w:ascii="Times New Roman" w:hAnsi="Times New Roman" w:cs="Times New Roman" w:eastAsiaTheme="minorEastAsia"/>
                <w:sz w:val="21"/>
                <w:szCs w:val="21"/>
                <w:lang w:val="en-GB" w:eastAsia="zh-CN"/>
              </w:rPr>
            </w:pPr>
          </w:p>
        </w:tc>
        <w:tc>
          <w:tcPr>
            <w:tcW w:w="3773" w:type="dxa"/>
            <w:shd w:val="clear" w:color="auto" w:fill="auto"/>
          </w:tcPr>
          <w:p>
            <w:pPr>
              <w:jc w:val="center"/>
              <w:rPr>
                <w:rFonts w:hint="default" w:ascii="Times New Roman" w:hAnsi="Times New Roman" w:cs="Times New Roman" w:eastAsiaTheme="minorEastAsia"/>
                <w:sz w:val="21"/>
                <w:szCs w:val="21"/>
                <w:lang w:val="en-GB" w:eastAsia="zh-CN"/>
              </w:rPr>
            </w:pPr>
            <w:r>
              <w:rPr>
                <w:rFonts w:hint="default" w:ascii="Times New Roman" w:hAnsi="Times New Roman" w:cs="Times New Roman" w:eastAsiaTheme="minorEastAsia"/>
                <w:sz w:val="21"/>
                <w:szCs w:val="21"/>
                <w:lang w:val="en-GB" w:eastAsia="zh-CN"/>
              </w:rPr>
              <w:t xml:space="preserve">dmrs-AdditionalPosition = 'pos0' in </w:t>
            </w:r>
            <w:r>
              <w:rPr>
                <w:rFonts w:hint="default" w:ascii="Times New Roman" w:hAnsi="Times New Roman" w:cs="Times New Roman" w:eastAsiaTheme="minorEastAsia"/>
                <w:sz w:val="21"/>
                <w:szCs w:val="21"/>
                <w:lang w:val="en-GB" w:eastAsia="zh-CN"/>
              </w:rPr>
              <w:br w:type="textWrapping"/>
            </w:r>
            <w:r>
              <w:rPr>
                <w:rFonts w:hint="default" w:ascii="Times New Roman" w:hAnsi="Times New Roman" w:cs="Times New Roman" w:eastAsiaTheme="minorEastAsia"/>
                <w:sz w:val="21"/>
                <w:szCs w:val="21"/>
                <w:lang w:val="en-GB" w:eastAsia="zh-CN"/>
              </w:rPr>
              <w:t>DMRS-DownlinkConfig in</w:t>
            </w:r>
            <w:r>
              <w:rPr>
                <w:rFonts w:hint="default" w:ascii="Times New Roman" w:hAnsi="Times New Roman" w:cs="Times New Roman" w:eastAsiaTheme="minorEastAsia"/>
                <w:sz w:val="21"/>
                <w:szCs w:val="21"/>
                <w:lang w:val="en-GB" w:eastAsia="zh-CN"/>
              </w:rPr>
              <w:br w:type="textWrapping"/>
            </w:r>
            <w:r>
              <w:rPr>
                <w:rFonts w:hint="default" w:ascii="Times New Roman" w:hAnsi="Times New Roman" w:cs="Times New Roman" w:eastAsiaTheme="minorEastAsia"/>
                <w:sz w:val="21"/>
                <w:szCs w:val="21"/>
                <w:lang w:val="en-US" w:eastAsia="zh-CN"/>
              </w:rPr>
              <w:t>dmrs-DownlinkForPDSCH-MappingTypeA</w:t>
            </w:r>
            <w:r>
              <w:rPr>
                <w:rFonts w:hint="default" w:ascii="Times New Roman" w:hAnsi="Times New Roman" w:cs="Times New Roman" w:eastAsiaTheme="minorEastAsia"/>
                <w:sz w:val="21"/>
                <w:szCs w:val="21"/>
                <w:lang w:val="en-GB" w:eastAsia="zh-CN"/>
              </w:rPr>
              <w:t xml:space="preserve"> and</w:t>
            </w:r>
            <w:r>
              <w:rPr>
                <w:rFonts w:hint="default" w:ascii="Times New Roman" w:hAnsi="Times New Roman" w:cs="Times New Roman" w:eastAsiaTheme="minorEastAsia"/>
                <w:sz w:val="21"/>
                <w:szCs w:val="21"/>
                <w:lang w:val="en-US" w:eastAsia="zh-CN"/>
              </w:rPr>
              <w:t xml:space="preserve"> dmrs-DownlinkForPDSCH-MappingTypeB if either higher layer parameter is configured, and in dmrs-DownlinkForPDSCH-MappingTypeA-DCI-1-2 and dmrs-DownlinkForPDSCH-MappingTypeB-DCI-1-2 if either higher layer parameter is configured</w:t>
            </w:r>
          </w:p>
        </w:tc>
        <w:tc>
          <w:tcPr>
            <w:tcW w:w="3774" w:type="dxa"/>
          </w:tcPr>
          <w:p>
            <w:pPr>
              <w:jc w:val="center"/>
              <w:rPr>
                <w:rFonts w:hint="default" w:ascii="Times New Roman" w:hAnsi="Times New Roman" w:cs="Times New Roman" w:eastAsiaTheme="minorEastAsia"/>
                <w:sz w:val="21"/>
                <w:szCs w:val="21"/>
                <w:lang w:val="en-GB" w:eastAsia="zh-CN"/>
              </w:rPr>
            </w:pPr>
            <w:r>
              <w:rPr>
                <w:rFonts w:hint="default" w:ascii="Times New Roman" w:hAnsi="Times New Roman" w:cs="Times New Roman" w:eastAsiaTheme="minorEastAsia"/>
                <w:sz w:val="21"/>
                <w:szCs w:val="21"/>
                <w:lang w:val="en-GB" w:eastAsia="zh-CN"/>
              </w:rPr>
              <w:t xml:space="preserve">dmrs-AdditionalPosition ≠ 'pos0' in </w:t>
            </w:r>
            <w:r>
              <w:rPr>
                <w:rFonts w:hint="default" w:ascii="Times New Roman" w:hAnsi="Times New Roman" w:cs="Times New Roman" w:eastAsiaTheme="minorEastAsia"/>
                <w:sz w:val="21"/>
                <w:szCs w:val="21"/>
                <w:lang w:val="en-GB" w:eastAsia="zh-CN"/>
              </w:rPr>
              <w:br w:type="textWrapping"/>
            </w:r>
            <w:r>
              <w:rPr>
                <w:rFonts w:hint="default" w:ascii="Times New Roman" w:hAnsi="Times New Roman" w:cs="Times New Roman" w:eastAsiaTheme="minorEastAsia"/>
                <w:sz w:val="21"/>
                <w:szCs w:val="21"/>
                <w:lang w:val="en-GB" w:eastAsia="zh-CN"/>
              </w:rPr>
              <w:t xml:space="preserve">DMRS-DownlinkConfig in </w:t>
            </w:r>
            <w:r>
              <w:rPr>
                <w:rFonts w:hint="default" w:ascii="Times New Roman" w:hAnsi="Times New Roman" w:cs="Times New Roman" w:eastAsiaTheme="minorEastAsia"/>
                <w:sz w:val="21"/>
                <w:szCs w:val="21"/>
                <w:lang w:val="en-US" w:eastAsia="zh-CN"/>
              </w:rPr>
              <w:t>any</w:t>
            </w:r>
            <w:r>
              <w:rPr>
                <w:rFonts w:hint="default" w:ascii="Times New Roman" w:hAnsi="Times New Roman" w:cs="Times New Roman" w:eastAsiaTheme="minorEastAsia"/>
                <w:sz w:val="21"/>
                <w:szCs w:val="21"/>
                <w:lang w:val="en-GB" w:eastAsia="zh-CN"/>
              </w:rPr>
              <w:t xml:space="preserve"> of </w:t>
            </w:r>
            <w:r>
              <w:rPr>
                <w:rFonts w:hint="default" w:ascii="Times New Roman" w:hAnsi="Times New Roman" w:cs="Times New Roman" w:eastAsiaTheme="minorEastAsia"/>
                <w:sz w:val="21"/>
                <w:szCs w:val="21"/>
                <w:lang w:val="en-GB" w:eastAsia="zh-CN"/>
              </w:rPr>
              <w:br w:type="textWrapping"/>
            </w:r>
            <w:r>
              <w:rPr>
                <w:rFonts w:hint="default" w:ascii="Times New Roman" w:hAnsi="Times New Roman" w:cs="Times New Roman" w:eastAsiaTheme="minorEastAsia"/>
                <w:sz w:val="21"/>
                <w:szCs w:val="21"/>
                <w:lang w:val="en-US" w:eastAsia="zh-CN"/>
              </w:rPr>
              <w:t>dmrs-DownlinkForPDSCH-MappingTypeA, dmrs-DownlinkForPDSCH-MappingTypeB, dmrs-DownlinkForPDSCH-MappingTypeA-DCI-1-2, dmrs-DownlinkForPDSCH-MappingTypeB-DCI-1-2,</w:t>
            </w:r>
          </w:p>
          <w:p>
            <w:pPr>
              <w:jc w:val="center"/>
              <w:rPr>
                <w:rFonts w:hint="default" w:ascii="Times New Roman" w:hAnsi="Times New Roman" w:cs="Times New Roman" w:eastAsiaTheme="minorEastAsia"/>
                <w:sz w:val="21"/>
                <w:szCs w:val="21"/>
                <w:lang w:val="en-GB" w:eastAsia="zh-CN"/>
              </w:rPr>
            </w:pPr>
            <w:r>
              <w:rPr>
                <w:rFonts w:hint="default" w:ascii="Times New Roman" w:hAnsi="Times New Roman" w:cs="Times New Roman" w:eastAsiaTheme="minorEastAsia"/>
                <w:sz w:val="21"/>
                <w:szCs w:val="21"/>
                <w:lang w:val="en-GB" w:eastAsia="zh-CN"/>
              </w:rPr>
              <w:t xml:space="preserve">or if </w:t>
            </w:r>
            <w:r>
              <w:rPr>
                <w:rFonts w:hint="default" w:ascii="Times New Roman" w:hAnsi="Times New Roman" w:cs="Times New Roman" w:eastAsiaTheme="minorEastAsia"/>
                <w:sz w:val="21"/>
                <w:szCs w:val="21"/>
                <w:lang w:val="en-US" w:eastAsia="zh-CN"/>
              </w:rPr>
              <w:t xml:space="preserve">none of </w:t>
            </w:r>
            <w:r>
              <w:rPr>
                <w:rFonts w:hint="default" w:ascii="Times New Roman" w:hAnsi="Times New Roman" w:cs="Times New Roman" w:eastAsiaTheme="minorEastAsia"/>
                <w:sz w:val="21"/>
                <w:szCs w:val="21"/>
                <w:lang w:val="en-GB" w:eastAsia="zh-CN"/>
              </w:rPr>
              <w:t>the higher layer parameters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jc w:val="center"/>
              <w:rPr>
                <w:rFonts w:hint="default" w:ascii="Times New Roman" w:hAnsi="Times New Roman" w:cs="Times New Roman" w:eastAsiaTheme="minorEastAsia"/>
                <w:sz w:val="21"/>
                <w:szCs w:val="21"/>
                <w:lang w:val="en-GB" w:eastAsia="zh-CN"/>
              </w:rPr>
            </w:pPr>
            <w:r>
              <w:rPr>
                <w:rFonts w:hint="default" w:ascii="Times New Roman" w:hAnsi="Times New Roman" w:cs="Times New Roman" w:eastAsiaTheme="minorEastAsia"/>
                <w:sz w:val="21"/>
                <w:szCs w:val="21"/>
                <w:lang w:val="en-GB" w:eastAsia="zh-CN"/>
              </w:rPr>
              <w:t>0</w:t>
            </w:r>
          </w:p>
        </w:tc>
        <w:tc>
          <w:tcPr>
            <w:tcW w:w="3773" w:type="dxa"/>
            <w:shd w:val="clear" w:color="auto" w:fill="auto"/>
          </w:tcPr>
          <w:p>
            <w:pPr>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16</w:t>
            </w:r>
          </w:p>
        </w:tc>
        <w:tc>
          <w:tcPr>
            <w:tcW w:w="3774" w:type="dxa"/>
          </w:tcPr>
          <w:p>
            <w:pPr>
              <w:jc w:val="center"/>
              <w:rPr>
                <w:rFonts w:hint="default" w:ascii="Times New Roman" w:hAnsi="Times New Roman" w:cs="Times New Roman" w:eastAsiaTheme="minorEastAsia"/>
                <w:sz w:val="21"/>
                <w:szCs w:val="21"/>
                <w:lang w:val="en-GB" w:eastAsia="zh-CN"/>
              </w:rPr>
            </w:pPr>
            <w:r>
              <w:rPr>
                <w:rFonts w:hint="default" w:ascii="Times New Roman" w:hAnsi="Times New Roman" w:cs="Times New Roman" w:eastAsiaTheme="minorEastAsia"/>
                <w:sz w:val="21"/>
                <w:szCs w:val="21"/>
                <w:lang w:val="en-US" w:eastAsia="zh-CN"/>
              </w:rPr>
              <w:t>2</w:t>
            </w:r>
            <w:r>
              <w:rPr>
                <w:rFonts w:hint="default" w:ascii="Times New Roman" w:hAnsi="Times New Roman" w:cs="Times New Roman" w:eastAsiaTheme="minorEastAsia"/>
                <w:position w:val="-14"/>
                <w:sz w:val="21"/>
                <w:szCs w:val="21"/>
                <w:lang w:val="en-US" w:eastAsia="zh-CN"/>
              </w:rPr>
              <w:object>
                <v:shape id="_x0000_i1034" o:spt="75" type="#_x0000_t75" style="height:19pt;width:21pt;" o:ole="t" filled="f" o:preferrelative="t" stroked="f" coordsize="21600,21600">
                  <v:path/>
                  <v:fill on="f" focussize="0,0"/>
                  <v:stroke on="f"/>
                  <v:imagedata r:id="rId30" o:title=""/>
                  <o:lock v:ext="edit" aspectratio="t"/>
                  <w10:wrap type="none"/>
                  <w10:anchorlock/>
                </v:shape>
                <o:OLEObject Type="Embed" ProgID="Equation.KSEE3" ShapeID="_x0000_i1034" DrawAspect="Content" ObjectID="_1468075734" r:id="rId2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jc w:val="center"/>
              <w:rPr>
                <w:rFonts w:hint="default" w:ascii="Times New Roman" w:hAnsi="Times New Roman" w:cs="Times New Roman" w:eastAsiaTheme="minorEastAsia"/>
                <w:sz w:val="21"/>
                <w:szCs w:val="21"/>
                <w:lang w:val="en-GB" w:eastAsia="zh-CN"/>
              </w:rPr>
            </w:pPr>
            <w:r>
              <w:rPr>
                <w:rFonts w:hint="default" w:ascii="Times New Roman" w:hAnsi="Times New Roman" w:cs="Times New Roman" w:eastAsiaTheme="minorEastAsia"/>
                <w:sz w:val="21"/>
                <w:szCs w:val="21"/>
                <w:lang w:val="en-GB" w:eastAsia="zh-CN"/>
              </w:rPr>
              <w:t>1</w:t>
            </w:r>
          </w:p>
        </w:tc>
        <w:tc>
          <w:tcPr>
            <w:tcW w:w="3773" w:type="dxa"/>
            <w:shd w:val="clear" w:color="auto" w:fill="auto"/>
          </w:tcPr>
          <w:p>
            <w:pPr>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20</w:t>
            </w:r>
          </w:p>
        </w:tc>
        <w:tc>
          <w:tcPr>
            <w:tcW w:w="3774" w:type="dxa"/>
          </w:tcPr>
          <w:p>
            <w:pPr>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26</w:t>
            </w:r>
          </w:p>
        </w:tc>
      </w:tr>
    </w:tbl>
    <w:p>
      <w:pPr>
        <w:jc w:val="center"/>
        <w:rPr>
          <w:rFonts w:hint="eastAsia" w:eastAsiaTheme="minorEastAsia"/>
          <w:sz w:val="21"/>
          <w:szCs w:val="21"/>
          <w:lang w:val="en-US" w:eastAsia="zh-CN"/>
        </w:rPr>
      </w:pPr>
      <w:r>
        <w:rPr>
          <w:rFonts w:hint="eastAsia" w:eastAsiaTheme="minorEastAsia"/>
          <w:sz w:val="21"/>
          <w:szCs w:val="21"/>
          <w:lang w:val="en-US" w:eastAsia="zh-CN"/>
        </w:rPr>
        <w:t>Table 2: PDSCH processing time for R18 Redcap UE PDSCH processing capability 2</w:t>
      </w:r>
    </w:p>
    <w:tbl>
      <w:tblPr>
        <w:tblStyle w:val="14"/>
        <w:tblW w:w="88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8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Merge w:val="restart"/>
            <w:shd w:val="clear" w:color="auto" w:fill="auto"/>
            <w:vAlign w:val="center"/>
          </w:tcPr>
          <w:p>
            <w:pPr>
              <w:jc w:val="center"/>
              <w:rPr>
                <w:rFonts w:hint="eastAsia" w:eastAsiaTheme="minorEastAsia"/>
                <w:sz w:val="21"/>
                <w:szCs w:val="21"/>
                <w:lang w:val="en-GB" w:eastAsia="zh-CN"/>
              </w:rPr>
            </w:pPr>
            <w:r>
              <w:rPr>
                <w:rFonts w:hint="eastAsia" w:eastAsiaTheme="minorEastAsia"/>
                <w:sz w:val="21"/>
                <w:szCs w:val="21"/>
                <w:lang w:val="en-GB" w:eastAsia="zh-CN"/>
              </w:rPr>
              <w:object>
                <v:shape id="_x0000_i1035" o:spt="75" type="#_x0000_t75" style="height:14.25pt;width:14.2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31">
                  <o:LockedField>false</o:LockedField>
                </o:OLEObject>
              </w:object>
            </w:r>
          </w:p>
        </w:tc>
        <w:tc>
          <w:tcPr>
            <w:tcW w:w="8102" w:type="dxa"/>
            <w:shd w:val="clear" w:color="auto" w:fill="auto"/>
          </w:tcPr>
          <w:p>
            <w:pPr>
              <w:jc w:val="center"/>
              <w:rPr>
                <w:rFonts w:hint="eastAsia" w:eastAsiaTheme="minorEastAsia"/>
                <w:sz w:val="21"/>
                <w:szCs w:val="21"/>
                <w:lang w:val="en-GB" w:eastAsia="zh-CN"/>
              </w:rPr>
            </w:pPr>
            <w:r>
              <w:rPr>
                <w:rFonts w:hint="eastAsia" w:eastAsiaTheme="minorEastAsia"/>
                <w:sz w:val="21"/>
                <w:szCs w:val="21"/>
                <w:lang w:val="en-GB" w:eastAsia="zh-CN"/>
              </w:rPr>
              <w:t>PDSCH decoding time N1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Merge w:val="continue"/>
            <w:shd w:val="clear" w:color="auto" w:fill="auto"/>
          </w:tcPr>
          <w:p>
            <w:pPr>
              <w:jc w:val="center"/>
              <w:rPr>
                <w:rFonts w:hint="eastAsia" w:eastAsiaTheme="minorEastAsia"/>
                <w:sz w:val="21"/>
                <w:szCs w:val="21"/>
                <w:lang w:val="en-GB" w:eastAsia="zh-CN"/>
              </w:rPr>
            </w:pPr>
          </w:p>
        </w:tc>
        <w:tc>
          <w:tcPr>
            <w:tcW w:w="8102" w:type="dxa"/>
            <w:shd w:val="clear" w:color="auto" w:fill="auto"/>
          </w:tcPr>
          <w:p>
            <w:pPr>
              <w:jc w:val="center"/>
              <w:rPr>
                <w:rFonts w:hint="eastAsia" w:eastAsiaTheme="minorEastAsia"/>
                <w:sz w:val="21"/>
                <w:szCs w:val="21"/>
                <w:lang w:val="en-GB" w:eastAsia="zh-CN"/>
              </w:rPr>
            </w:pPr>
            <w:r>
              <w:rPr>
                <w:rFonts w:hint="eastAsia" w:eastAsiaTheme="minorEastAsia"/>
                <w:sz w:val="21"/>
                <w:szCs w:val="21"/>
                <w:lang w:val="en-GB" w:eastAsia="zh-CN"/>
              </w:rPr>
              <w:t xml:space="preserve">dmrs-AdditionalPosition = 'pos0' in </w:t>
            </w:r>
            <w:r>
              <w:rPr>
                <w:rFonts w:hint="eastAsia" w:eastAsiaTheme="minorEastAsia"/>
                <w:sz w:val="21"/>
                <w:szCs w:val="21"/>
                <w:lang w:val="en-GB" w:eastAsia="zh-CN"/>
              </w:rPr>
              <w:br w:type="textWrapping"/>
            </w:r>
            <w:r>
              <w:rPr>
                <w:rFonts w:hint="eastAsia" w:eastAsiaTheme="minorEastAsia"/>
                <w:sz w:val="21"/>
                <w:szCs w:val="21"/>
                <w:lang w:val="en-GB" w:eastAsia="zh-CN"/>
              </w:rPr>
              <w:t xml:space="preserve">DMRS-DownlinkConfig in </w:t>
            </w:r>
            <w:r>
              <w:rPr>
                <w:rFonts w:hint="eastAsia" w:eastAsiaTheme="minorEastAsia"/>
                <w:sz w:val="21"/>
                <w:szCs w:val="21"/>
                <w:lang w:val="en-GB" w:eastAsia="zh-CN"/>
              </w:rPr>
              <w:br w:type="textWrapping"/>
            </w:r>
            <w:r>
              <w:rPr>
                <w:rFonts w:hint="eastAsia" w:eastAsiaTheme="minorEastAsia"/>
                <w:sz w:val="21"/>
                <w:szCs w:val="21"/>
                <w:lang w:val="en-US" w:eastAsia="zh-CN"/>
              </w:rPr>
              <w:t>dmrs-DownlinkForPDSCH-MappingTypeA</w:t>
            </w:r>
            <w:r>
              <w:rPr>
                <w:rFonts w:hint="eastAsia" w:eastAsiaTheme="minorEastAsia"/>
                <w:sz w:val="21"/>
                <w:szCs w:val="21"/>
                <w:lang w:val="en-GB" w:eastAsia="zh-CN"/>
              </w:rPr>
              <w:t xml:space="preserve"> and</w:t>
            </w:r>
            <w:r>
              <w:rPr>
                <w:rFonts w:hint="eastAsia" w:eastAsiaTheme="minorEastAsia"/>
                <w:sz w:val="21"/>
                <w:szCs w:val="21"/>
                <w:lang w:val="en-US" w:eastAsia="zh-CN"/>
              </w:rPr>
              <w:t xml:space="preserve"> dmrs-DownlinkForPDSCH-MappingTypeB if either higher layer parameter is configured, and in dmrs-DownlinkForPDSCH-MappingTypeA-DCI-1-2 and dmrs-DownlinkForPDSCH-MappingTypeB-DCI-1-2 if either higher layer parameter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shd w:val="clear" w:color="auto" w:fill="auto"/>
          </w:tcPr>
          <w:p>
            <w:pPr>
              <w:jc w:val="center"/>
              <w:rPr>
                <w:rFonts w:hint="eastAsia" w:eastAsiaTheme="minorEastAsia"/>
                <w:sz w:val="21"/>
                <w:szCs w:val="21"/>
                <w:lang w:val="en-GB" w:eastAsia="zh-CN"/>
              </w:rPr>
            </w:pPr>
            <w:r>
              <w:rPr>
                <w:rFonts w:hint="eastAsia" w:eastAsiaTheme="minorEastAsia"/>
                <w:sz w:val="21"/>
                <w:szCs w:val="21"/>
                <w:lang w:val="en-GB" w:eastAsia="zh-CN"/>
              </w:rPr>
              <w:t>0</w:t>
            </w:r>
          </w:p>
        </w:tc>
        <w:tc>
          <w:tcPr>
            <w:tcW w:w="8102" w:type="dxa"/>
            <w:shd w:val="clear" w:color="auto" w:fill="auto"/>
          </w:tcPr>
          <w:p>
            <w:pPr>
              <w:jc w:val="center"/>
              <w:rPr>
                <w:rFonts w:hint="default" w:eastAsiaTheme="minorEastAsia"/>
                <w:sz w:val="21"/>
                <w:szCs w:val="21"/>
                <w:lang w:val="en-US" w:eastAsia="zh-CN"/>
              </w:rPr>
            </w:pPr>
            <w:r>
              <w:rPr>
                <w:rFonts w:hint="eastAsia" w:eastAsiaTheme="minorEastAsia"/>
                <w:sz w:val="21"/>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shd w:val="clear" w:color="auto" w:fill="auto"/>
          </w:tcPr>
          <w:p>
            <w:pPr>
              <w:jc w:val="center"/>
              <w:rPr>
                <w:rFonts w:hint="eastAsia" w:eastAsiaTheme="minorEastAsia"/>
                <w:sz w:val="21"/>
                <w:szCs w:val="21"/>
                <w:lang w:val="en-GB" w:eastAsia="zh-CN"/>
              </w:rPr>
            </w:pPr>
            <w:r>
              <w:rPr>
                <w:rFonts w:hint="eastAsia" w:eastAsiaTheme="minorEastAsia"/>
                <w:sz w:val="21"/>
                <w:szCs w:val="21"/>
                <w:lang w:val="en-GB" w:eastAsia="zh-CN"/>
              </w:rPr>
              <w:t>1</w:t>
            </w:r>
          </w:p>
        </w:tc>
        <w:tc>
          <w:tcPr>
            <w:tcW w:w="8102" w:type="dxa"/>
            <w:shd w:val="clear" w:color="auto" w:fill="auto"/>
          </w:tcPr>
          <w:p>
            <w:pPr>
              <w:jc w:val="center"/>
              <w:rPr>
                <w:rFonts w:hint="default" w:eastAsiaTheme="minorEastAsia"/>
                <w:sz w:val="21"/>
                <w:szCs w:val="21"/>
                <w:lang w:val="en-US" w:eastAsia="zh-CN"/>
              </w:rPr>
            </w:pPr>
            <w:r>
              <w:rPr>
                <w:rFonts w:hint="eastAsia" w:eastAsiaTheme="minorEastAsia"/>
                <w:sz w:val="21"/>
                <w:szCs w:val="21"/>
                <w:lang w:val="en-US" w:eastAsia="zh-CN"/>
              </w:rPr>
              <w:t>18</w:t>
            </w:r>
          </w:p>
        </w:tc>
      </w:tr>
    </w:tbl>
    <w:p>
      <w:pPr>
        <w:jc w:val="center"/>
        <w:rPr>
          <w:rFonts w:hint="eastAsia" w:eastAsiaTheme="minorEastAsia"/>
          <w:sz w:val="21"/>
          <w:szCs w:val="21"/>
          <w:lang w:val="en-US" w:eastAsia="zh-CN"/>
        </w:rPr>
      </w:pPr>
      <w:r>
        <w:rPr>
          <w:rFonts w:hint="eastAsia" w:eastAsiaTheme="minorEastAsia"/>
          <w:sz w:val="21"/>
          <w:szCs w:val="21"/>
          <w:lang w:val="en-US" w:eastAsia="zh-CN"/>
        </w:rPr>
        <w:t>Table 3: PUSCH preparation time for R18 Redcap UE PUSCH timing capability 1</w:t>
      </w:r>
    </w:p>
    <w:tbl>
      <w:tblPr>
        <w:tblStyle w:val="14"/>
        <w:tblW w:w="49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4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vAlign w:val="center"/>
          </w:tcPr>
          <w:p>
            <w:pPr>
              <w:jc w:val="center"/>
              <w:rPr>
                <w:rFonts w:hint="eastAsia" w:eastAsiaTheme="minorEastAsia"/>
                <w:sz w:val="21"/>
                <w:szCs w:val="21"/>
                <w:lang w:val="en-GB" w:eastAsia="zh-CN"/>
              </w:rPr>
            </w:pPr>
            <w:r>
              <w:rPr>
                <w:rFonts w:hint="eastAsia" w:eastAsiaTheme="minorEastAsia"/>
                <w:sz w:val="21"/>
                <w:szCs w:val="21"/>
                <w:lang w:val="en-GB" w:eastAsia="zh-CN"/>
              </w:rPr>
              <w:object>
                <v:shape id="_x0000_i1036" o:spt="75" type="#_x0000_t75" style="height:14.25pt;width:14.25pt;" o:ole="t" filled="f" o:preferrelative="t" stroked="f" coordsize="21600,21600">
                  <v:path/>
                  <v:fill on="f" focussize="0,0"/>
                  <v:stroke on="f" joinstyle="miter"/>
                  <v:imagedata r:id="rId33" o:title=""/>
                  <o:lock v:ext="edit" aspectratio="t"/>
                  <w10:wrap type="none"/>
                  <w10:anchorlock/>
                </v:shape>
                <o:OLEObject Type="Embed" ProgID="Equation.3" ShapeID="_x0000_i1036" DrawAspect="Content" ObjectID="_1468075736" r:id="rId32">
                  <o:LockedField>false</o:LockedField>
                </o:OLEObject>
              </w:object>
            </w:r>
          </w:p>
        </w:tc>
        <w:tc>
          <w:tcPr>
            <w:tcW w:w="4165" w:type="dxa"/>
            <w:shd w:val="clear" w:color="auto" w:fill="auto"/>
          </w:tcPr>
          <w:p>
            <w:pPr>
              <w:jc w:val="center"/>
              <w:rPr>
                <w:rFonts w:hint="eastAsia" w:eastAsiaTheme="minorEastAsia"/>
                <w:sz w:val="21"/>
                <w:szCs w:val="21"/>
                <w:lang w:val="en-GB" w:eastAsia="zh-CN"/>
              </w:rPr>
            </w:pPr>
            <w:r>
              <w:rPr>
                <w:rFonts w:hint="eastAsia" w:eastAsiaTheme="minorEastAsia"/>
                <w:sz w:val="21"/>
                <w:szCs w:val="21"/>
                <w:lang w:val="en-GB" w:eastAsia="zh-CN"/>
              </w:rPr>
              <w:t>PUSCH preparation time N2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jc w:val="center"/>
              <w:rPr>
                <w:rFonts w:hint="eastAsia" w:eastAsiaTheme="minorEastAsia"/>
                <w:sz w:val="21"/>
                <w:szCs w:val="21"/>
                <w:lang w:val="en-GB" w:eastAsia="zh-CN"/>
              </w:rPr>
            </w:pPr>
            <w:r>
              <w:rPr>
                <w:rFonts w:hint="eastAsia" w:eastAsiaTheme="minorEastAsia"/>
                <w:sz w:val="21"/>
                <w:szCs w:val="21"/>
                <w:lang w:val="en-GB" w:eastAsia="zh-CN"/>
              </w:rPr>
              <w:t>0</w:t>
            </w:r>
          </w:p>
        </w:tc>
        <w:tc>
          <w:tcPr>
            <w:tcW w:w="4165" w:type="dxa"/>
            <w:shd w:val="clear" w:color="auto" w:fill="auto"/>
          </w:tcPr>
          <w:p>
            <w:pPr>
              <w:jc w:val="center"/>
              <w:rPr>
                <w:rFonts w:hint="default" w:eastAsiaTheme="minorEastAsia"/>
                <w:sz w:val="21"/>
                <w:szCs w:val="21"/>
                <w:lang w:val="en-US" w:eastAsia="zh-CN"/>
              </w:rPr>
            </w:pPr>
            <w:r>
              <w:rPr>
                <w:rFonts w:hint="eastAsia" w:eastAsiaTheme="minorEastAsia"/>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jc w:val="center"/>
              <w:rPr>
                <w:rFonts w:hint="eastAsia" w:eastAsiaTheme="minorEastAsia"/>
                <w:sz w:val="21"/>
                <w:szCs w:val="21"/>
                <w:lang w:val="en-GB" w:eastAsia="zh-CN"/>
              </w:rPr>
            </w:pPr>
            <w:r>
              <w:rPr>
                <w:rFonts w:hint="eastAsia" w:eastAsiaTheme="minorEastAsia"/>
                <w:sz w:val="21"/>
                <w:szCs w:val="21"/>
                <w:lang w:val="en-GB" w:eastAsia="zh-CN"/>
              </w:rPr>
              <w:t>1</w:t>
            </w:r>
          </w:p>
        </w:tc>
        <w:tc>
          <w:tcPr>
            <w:tcW w:w="4165" w:type="dxa"/>
            <w:shd w:val="clear" w:color="auto" w:fill="auto"/>
          </w:tcPr>
          <w:p>
            <w:pPr>
              <w:jc w:val="center"/>
              <w:rPr>
                <w:rFonts w:hint="default" w:eastAsiaTheme="minorEastAsia"/>
                <w:sz w:val="21"/>
                <w:szCs w:val="21"/>
                <w:lang w:val="en-US" w:eastAsia="zh-CN"/>
              </w:rPr>
            </w:pPr>
            <w:r>
              <w:rPr>
                <w:rFonts w:hint="eastAsia" w:eastAsiaTheme="minorEastAsia"/>
                <w:sz w:val="21"/>
                <w:szCs w:val="21"/>
                <w:lang w:val="en-US" w:eastAsia="zh-CN"/>
              </w:rPr>
              <w:t>24</w:t>
            </w:r>
          </w:p>
        </w:tc>
      </w:tr>
    </w:tbl>
    <w:p>
      <w:pPr>
        <w:jc w:val="center"/>
        <w:rPr>
          <w:rFonts w:hint="eastAsia" w:eastAsiaTheme="minorEastAsia"/>
          <w:sz w:val="21"/>
          <w:szCs w:val="22"/>
          <w:lang w:val="en-US" w:eastAsia="zh-CN"/>
        </w:rPr>
      </w:pPr>
    </w:p>
    <w:p>
      <w:pPr>
        <w:jc w:val="center"/>
        <w:rPr>
          <w:rFonts w:hint="eastAsia" w:eastAsiaTheme="minorEastAsia"/>
          <w:sz w:val="21"/>
          <w:szCs w:val="21"/>
          <w:lang w:val="en-US" w:eastAsia="zh-CN"/>
        </w:rPr>
      </w:pPr>
      <w:r>
        <w:rPr>
          <w:rFonts w:hint="eastAsia" w:eastAsiaTheme="minorEastAsia"/>
          <w:sz w:val="21"/>
          <w:szCs w:val="21"/>
          <w:lang w:val="en-US" w:eastAsia="zh-CN"/>
        </w:rPr>
        <w:t>Table 4: PUSCH preparation time for R18 Redcap UE PUSCH timing capability 2</w:t>
      </w:r>
    </w:p>
    <w:tbl>
      <w:tblPr>
        <w:tblStyle w:val="14"/>
        <w:tblW w:w="49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4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vAlign w:val="center"/>
          </w:tcPr>
          <w:p>
            <w:pPr>
              <w:jc w:val="center"/>
              <w:rPr>
                <w:rFonts w:hint="eastAsia" w:eastAsiaTheme="minorEastAsia"/>
                <w:sz w:val="21"/>
                <w:szCs w:val="21"/>
                <w:lang w:val="en-GB" w:eastAsia="zh-CN"/>
              </w:rPr>
            </w:pPr>
            <w:r>
              <w:rPr>
                <w:rFonts w:hint="eastAsia" w:eastAsiaTheme="minorEastAsia"/>
                <w:sz w:val="21"/>
                <w:szCs w:val="21"/>
                <w:lang w:val="en-GB" w:eastAsia="zh-CN"/>
              </w:rPr>
              <w:object>
                <v:shape id="_x0000_i1037" o:spt="75" type="#_x0000_t75" style="height:14.25pt;width:14.25pt;" o:ole="t" filled="f" o:preferrelative="t" stroked="f" coordsize="21600,21600">
                  <v:path/>
                  <v:fill on="f" focussize="0,0"/>
                  <v:stroke on="f" joinstyle="miter"/>
                  <v:imagedata r:id="rId33" o:title=""/>
                  <o:lock v:ext="edit" aspectratio="t"/>
                  <w10:wrap type="none"/>
                  <w10:anchorlock/>
                </v:shape>
                <o:OLEObject Type="Embed" ProgID="Equation.3" ShapeID="_x0000_i1037" DrawAspect="Content" ObjectID="_1468075737" r:id="rId34">
                  <o:LockedField>false</o:LockedField>
                </o:OLEObject>
              </w:object>
            </w:r>
          </w:p>
        </w:tc>
        <w:tc>
          <w:tcPr>
            <w:tcW w:w="4165" w:type="dxa"/>
            <w:shd w:val="clear" w:color="auto" w:fill="auto"/>
          </w:tcPr>
          <w:p>
            <w:pPr>
              <w:jc w:val="center"/>
              <w:rPr>
                <w:rFonts w:hint="eastAsia" w:eastAsiaTheme="minorEastAsia"/>
                <w:sz w:val="21"/>
                <w:szCs w:val="21"/>
                <w:lang w:val="en-GB" w:eastAsia="zh-CN"/>
              </w:rPr>
            </w:pPr>
            <w:r>
              <w:rPr>
                <w:rFonts w:hint="eastAsia" w:eastAsiaTheme="minorEastAsia"/>
                <w:sz w:val="21"/>
                <w:szCs w:val="21"/>
                <w:lang w:val="en-GB" w:eastAsia="zh-CN"/>
              </w:rPr>
              <w:t>PUSCH preparation time N2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jc w:val="center"/>
              <w:rPr>
                <w:rFonts w:hint="eastAsia" w:eastAsiaTheme="minorEastAsia"/>
                <w:sz w:val="21"/>
                <w:szCs w:val="21"/>
                <w:lang w:val="en-GB" w:eastAsia="zh-CN"/>
              </w:rPr>
            </w:pPr>
            <w:r>
              <w:rPr>
                <w:rFonts w:hint="eastAsia" w:eastAsiaTheme="minorEastAsia"/>
                <w:sz w:val="21"/>
                <w:szCs w:val="21"/>
                <w:lang w:val="en-GB" w:eastAsia="zh-CN"/>
              </w:rPr>
              <w:t>0</w:t>
            </w:r>
          </w:p>
        </w:tc>
        <w:tc>
          <w:tcPr>
            <w:tcW w:w="4165" w:type="dxa"/>
            <w:shd w:val="clear" w:color="auto" w:fill="auto"/>
          </w:tcPr>
          <w:p>
            <w:pPr>
              <w:jc w:val="center"/>
              <w:rPr>
                <w:rFonts w:hint="default" w:eastAsiaTheme="minorEastAsia"/>
                <w:sz w:val="21"/>
                <w:szCs w:val="21"/>
                <w:lang w:val="en-US" w:eastAsia="zh-CN"/>
              </w:rPr>
            </w:pPr>
            <w:r>
              <w:rPr>
                <w:rFonts w:hint="eastAsia" w:eastAsiaTheme="minorEastAsia"/>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jc w:val="center"/>
              <w:rPr>
                <w:rFonts w:hint="eastAsia" w:eastAsiaTheme="minorEastAsia"/>
                <w:sz w:val="21"/>
                <w:szCs w:val="21"/>
                <w:lang w:val="en-GB" w:eastAsia="zh-CN"/>
              </w:rPr>
            </w:pPr>
            <w:r>
              <w:rPr>
                <w:rFonts w:hint="eastAsia" w:eastAsiaTheme="minorEastAsia"/>
                <w:sz w:val="21"/>
                <w:szCs w:val="21"/>
                <w:lang w:val="en-GB" w:eastAsia="zh-CN"/>
              </w:rPr>
              <w:t>1</w:t>
            </w:r>
          </w:p>
        </w:tc>
        <w:tc>
          <w:tcPr>
            <w:tcW w:w="4165" w:type="dxa"/>
            <w:shd w:val="clear" w:color="auto" w:fill="auto"/>
          </w:tcPr>
          <w:p>
            <w:pPr>
              <w:jc w:val="center"/>
              <w:rPr>
                <w:rFonts w:hint="default" w:eastAsiaTheme="minorEastAsia"/>
                <w:sz w:val="21"/>
                <w:szCs w:val="21"/>
                <w:lang w:val="en-US" w:eastAsia="zh-CN"/>
              </w:rPr>
            </w:pPr>
            <w:r>
              <w:rPr>
                <w:rFonts w:hint="eastAsia" w:eastAsiaTheme="minorEastAsia"/>
                <w:sz w:val="21"/>
                <w:szCs w:val="21"/>
                <w:lang w:val="en-US" w:eastAsia="zh-CN"/>
              </w:rPr>
              <w:t>11</w:t>
            </w:r>
          </w:p>
        </w:tc>
      </w:tr>
      <w:bookmarkEnd w:id="6"/>
    </w:tbl>
    <w:p>
      <w:pPr>
        <w:jc w:val="both"/>
        <w:rPr>
          <w:rFonts w:hint="eastAsia" w:eastAsia="MS Mincho"/>
          <w:sz w:val="20"/>
          <w:szCs w:val="20"/>
          <w:lang w:val="en-US" w:eastAsia="zh-CN"/>
        </w:rPr>
      </w:pPr>
      <w:r>
        <w:rPr>
          <w:rFonts w:hint="eastAsia" w:ascii="Times New Roman" w:hAnsi="Times New Roman" w:cs="Times New Roman"/>
          <w:sz w:val="21"/>
          <w:szCs w:val="22"/>
          <w:lang w:val="en-US" w:eastAsia="zh-CN"/>
        </w:rPr>
        <w:t xml:space="preserve">According to 38.213, N1 and N2 are related to </w:t>
      </w:r>
      <w:r>
        <w:rPr>
          <w:rFonts w:hint="eastAsia" w:cs="Times New Roman"/>
          <w:sz w:val="21"/>
          <w:szCs w:val="22"/>
          <w:lang w:val="en-US" w:eastAsia="zh-CN"/>
        </w:rPr>
        <w:t xml:space="preserve">the </w:t>
      </w:r>
      <w:r>
        <w:rPr>
          <w:rFonts w:hint="eastAsia" w:ascii="Times New Roman" w:hAnsi="Times New Roman" w:cs="Times New Roman"/>
          <w:sz w:val="21"/>
          <w:szCs w:val="22"/>
          <w:lang w:val="en-US" w:eastAsia="zh-CN"/>
        </w:rPr>
        <w:t xml:space="preserve">HARQ-ACK feedback time K1 and </w:t>
      </w:r>
      <w:r>
        <w:rPr>
          <w:rFonts w:hint="eastAsia" w:cs="Times New Roman"/>
          <w:sz w:val="21"/>
          <w:szCs w:val="22"/>
          <w:lang w:val="en-US" w:eastAsia="zh-CN"/>
        </w:rPr>
        <w:t xml:space="preserve">the </w:t>
      </w:r>
      <w:r>
        <w:rPr>
          <w:rFonts w:hint="eastAsia" w:ascii="Times New Roman" w:hAnsi="Times New Roman" w:cs="Times New Roman"/>
          <w:sz w:val="21"/>
          <w:szCs w:val="22"/>
          <w:lang w:val="en-US" w:eastAsia="zh-CN"/>
        </w:rPr>
        <w:t>PUSCH scheduling time K2.</w:t>
      </w:r>
      <w:r>
        <w:rPr>
          <w:rFonts w:hint="default" w:ascii="Times New Roman" w:hAnsi="Times New Roman" w:cs="Times New Roman"/>
          <w:sz w:val="21"/>
          <w:szCs w:val="22"/>
          <w:lang w:val="en-US" w:eastAsia="zh-CN"/>
        </w:rPr>
        <w:t xml:space="preserve"> Therefore, if the UE processing times N1 and N2 are relaxed, the value range of K1 and the value of K2 corresponding to the default TDRA table</w:t>
      </w:r>
      <w:r>
        <w:rPr>
          <w:rFonts w:hint="eastAsia" w:ascii="Times New Roman" w:hAnsi="Times New Roman" w:cs="Times New Roman"/>
          <w:sz w:val="21"/>
          <w:szCs w:val="22"/>
          <w:lang w:val="en-US" w:eastAsia="zh-CN"/>
        </w:rPr>
        <w:t>s</w:t>
      </w:r>
      <w:r>
        <w:rPr>
          <w:rFonts w:hint="default" w:ascii="Times New Roman" w:hAnsi="Times New Roman" w:cs="Times New Roman"/>
          <w:sz w:val="21"/>
          <w:szCs w:val="22"/>
          <w:lang w:val="en-US" w:eastAsia="zh-CN"/>
        </w:rPr>
        <w:t xml:space="preserve"> need to be adjusted.</w:t>
      </w:r>
      <w:r>
        <w:rPr>
          <w:rFonts w:hint="eastAsia" w:ascii="Times New Roman" w:hAnsi="Times New Roman" w:cs="Times New Roman"/>
          <w:sz w:val="21"/>
          <w:szCs w:val="22"/>
          <w:lang w:val="en-US" w:eastAsia="zh-CN"/>
        </w:rPr>
        <w:t xml:space="preserve">  </w:t>
      </w:r>
      <w:r>
        <w:rPr>
          <w:rFonts w:hint="eastAsia" w:eastAsia="MS Mincho"/>
          <w:sz w:val="20"/>
          <w:szCs w:val="20"/>
          <w:lang w:val="en-US" w:eastAsia="zh-CN"/>
        </w:rPr>
        <w:t xml:space="preserve">    </w:t>
      </w:r>
    </w:p>
    <w:p>
      <w:pPr>
        <w:jc w:val="both"/>
        <w:rPr>
          <w:rFonts w:hint="eastAsia"/>
          <w:b/>
          <w:sz w:val="21"/>
          <w:szCs w:val="22"/>
          <w:lang w:val="en-US" w:eastAsia="zh-CN"/>
        </w:rPr>
      </w:pPr>
      <w:r>
        <w:rPr>
          <w:rFonts w:hint="eastAsia"/>
          <w:b/>
          <w:sz w:val="21"/>
          <w:szCs w:val="22"/>
          <w:lang w:val="en-US" w:eastAsia="zh-CN"/>
        </w:rPr>
        <w:t>Proposal 5  If the UE processing time N1 and N2 are relaxed, the value range of K1 and the value of K2 corresponding to the default TDRA table need to be adjusted.</w:t>
      </w:r>
    </w:p>
    <w:p>
      <w:pPr>
        <w:jc w:val="both"/>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Furthermore</w:t>
      </w:r>
      <w:r>
        <w:rPr>
          <w:rFonts w:hint="default" w:ascii="Times New Roman" w:hAnsi="Times New Roman" w:cs="Times New Roman"/>
          <w:sz w:val="21"/>
          <w:szCs w:val="22"/>
          <w:lang w:val="en-US" w:eastAsia="zh-CN"/>
        </w:rPr>
        <w:t>, due to the introduction of new N1 and N2 values, a new UE processing capability table needs to be defined for R18 Redcap UEs to include the new N1 and N2 values. For example, the new UE processing capability table</w:t>
      </w:r>
      <w:r>
        <w:rPr>
          <w:rFonts w:hint="eastAsia" w:cs="Times New Roman"/>
          <w:sz w:val="21"/>
          <w:szCs w:val="22"/>
          <w:lang w:val="en-US" w:eastAsia="zh-CN"/>
        </w:rPr>
        <w:t>s</w:t>
      </w:r>
      <w:r>
        <w:rPr>
          <w:rFonts w:hint="default" w:ascii="Times New Roman" w:hAnsi="Times New Roman" w:cs="Times New Roman"/>
          <w:sz w:val="21"/>
          <w:szCs w:val="22"/>
          <w:lang w:val="en-US" w:eastAsia="zh-CN"/>
        </w:rPr>
        <w:t xml:space="preserve"> can be set as shown in Table 1</w:t>
      </w:r>
      <w:r>
        <w:rPr>
          <w:rFonts w:hint="eastAsia" w:cs="Times New Roman"/>
          <w:sz w:val="21"/>
          <w:szCs w:val="22"/>
          <w:lang w:val="en-US" w:eastAsia="zh-CN"/>
        </w:rPr>
        <w:t xml:space="preserve"> to Table </w:t>
      </w:r>
      <w:r>
        <w:rPr>
          <w:rFonts w:hint="default" w:ascii="Times New Roman" w:hAnsi="Times New Roman" w:cs="Times New Roman"/>
          <w:sz w:val="21"/>
          <w:szCs w:val="22"/>
          <w:lang w:val="en-US" w:eastAsia="zh-CN"/>
        </w:rPr>
        <w:t>4.</w:t>
      </w:r>
    </w:p>
    <w:p>
      <w:pPr>
        <w:jc w:val="both"/>
        <w:rPr>
          <w:rFonts w:hint="default"/>
          <w:b/>
          <w:sz w:val="21"/>
          <w:szCs w:val="22"/>
          <w:lang w:val="en-US" w:eastAsia="zh-CN"/>
        </w:rPr>
      </w:pPr>
      <w:r>
        <w:rPr>
          <w:rFonts w:hint="eastAsia"/>
          <w:b/>
          <w:sz w:val="21"/>
          <w:szCs w:val="22"/>
          <w:lang w:val="en-US" w:eastAsia="zh-CN"/>
        </w:rPr>
        <w:t xml:space="preserve">Proposal 6  It is recommended to set new UE processing capability tables with new N1 and N2 values. </w:t>
      </w:r>
    </w:p>
    <w:p>
      <w:pPr>
        <w:pStyle w:val="2"/>
        <w:overflowPunct w:val="0"/>
        <w:autoSpaceDE w:val="0"/>
        <w:autoSpaceDN w:val="0"/>
        <w:adjustRightInd w:val="0"/>
        <w:spacing w:after="180"/>
        <w:ind w:left="1134" w:hanging="1134"/>
        <w:textAlignment w:val="baseline"/>
        <w:rPr>
          <w:rFonts w:ascii="Arial" w:hAnsi="Arial" w:eastAsia="宋体" w:cs="Times New Roman"/>
          <w:b w:val="0"/>
          <w:bCs w:val="0"/>
          <w:kern w:val="0"/>
          <w:sz w:val="32"/>
          <w:szCs w:val="32"/>
          <w:lang w:val="en-US" w:eastAsia="zh-CN" w:bidi="ar-SA"/>
        </w:rPr>
      </w:pPr>
      <w:r>
        <w:rPr>
          <w:rFonts w:ascii="Arial" w:hAnsi="Arial" w:eastAsia="宋体" w:cs="Times New Roman"/>
          <w:b w:val="0"/>
          <w:bCs w:val="0"/>
          <w:kern w:val="0"/>
          <w:sz w:val="32"/>
          <w:szCs w:val="32"/>
          <w:lang w:val="en-US" w:eastAsia="zh-CN" w:bidi="ar-SA"/>
        </w:rPr>
        <w:t>Conclusions</w:t>
      </w:r>
    </w:p>
    <w:p>
      <w:pPr>
        <w:jc w:val="both"/>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In this contribution,</w:t>
      </w:r>
      <w:r>
        <w:rPr>
          <w:rFonts w:hint="eastAsia" w:ascii="Times New Roman" w:hAnsi="Times New Roman" w:cs="Times New Roman"/>
          <w:sz w:val="21"/>
          <w:szCs w:val="22"/>
          <w:lang w:val="en-US" w:eastAsia="zh-CN"/>
        </w:rPr>
        <w:t xml:space="preserve"> </w:t>
      </w:r>
      <w:r>
        <w:rPr>
          <w:rFonts w:hint="default" w:ascii="Times New Roman" w:hAnsi="Times New Roman" w:cs="Times New Roman"/>
          <w:sz w:val="21"/>
          <w:szCs w:val="22"/>
          <w:lang w:val="en-US" w:eastAsia="zh-CN"/>
        </w:rPr>
        <w:t>the features of UE complexity reduction and their possible impact on the features</w:t>
      </w:r>
      <w:r>
        <w:rPr>
          <w:rFonts w:hint="eastAsia" w:ascii="Times New Roman" w:hAnsi="Times New Roman" w:cs="Times New Roman"/>
          <w:sz w:val="21"/>
          <w:szCs w:val="22"/>
          <w:lang w:val="en-US" w:eastAsia="zh-CN"/>
        </w:rPr>
        <w:t xml:space="preserve"> are discussed, </w:t>
      </w:r>
      <w:r>
        <w:rPr>
          <w:rFonts w:hint="default" w:ascii="Times New Roman" w:hAnsi="Times New Roman" w:cs="Times New Roman"/>
          <w:sz w:val="21"/>
          <w:szCs w:val="22"/>
          <w:lang w:val="en-US" w:eastAsia="zh-CN"/>
        </w:rPr>
        <w:t>and the following proposals are made.</w:t>
      </w:r>
    </w:p>
    <w:p>
      <w:pPr>
        <w:jc w:val="both"/>
        <w:rPr>
          <w:rFonts w:hint="default"/>
          <w:b/>
          <w:sz w:val="21"/>
          <w:szCs w:val="22"/>
          <w:lang w:val="en-US" w:eastAsia="zh-CN"/>
        </w:rPr>
      </w:pPr>
      <w:r>
        <w:rPr>
          <w:rFonts w:hint="eastAsia"/>
          <w:b/>
          <w:sz w:val="21"/>
          <w:szCs w:val="22"/>
          <w:lang w:val="en-US" w:eastAsia="zh-CN"/>
        </w:rPr>
        <w:t>Proposal 1  For 30KHz SCS, 12 contiguous RBs can be assumed to fit within the 5 MHz.</w:t>
      </w:r>
    </w:p>
    <w:p>
      <w:pPr>
        <w:jc w:val="both"/>
        <w:rPr>
          <w:rFonts w:hint="default"/>
          <w:b/>
          <w:sz w:val="21"/>
          <w:szCs w:val="22"/>
          <w:lang w:val="en-US" w:eastAsia="zh-CN"/>
        </w:rPr>
      </w:pPr>
      <w:r>
        <w:rPr>
          <w:rFonts w:hint="eastAsia"/>
          <w:b/>
          <w:sz w:val="21"/>
          <w:szCs w:val="22"/>
          <w:lang w:val="en-US" w:eastAsia="zh-CN"/>
        </w:rPr>
        <w:t xml:space="preserve">Proposal 2  For 5MHz bandwidth, it is recommended to increase the number of symbols occupied by the control channel to enhance cell coverage. </w:t>
      </w:r>
    </w:p>
    <w:p>
      <w:pPr>
        <w:jc w:val="both"/>
        <w:rPr>
          <w:rFonts w:hint="default"/>
          <w:b/>
          <w:sz w:val="21"/>
          <w:szCs w:val="22"/>
          <w:lang w:val="en-US" w:eastAsia="zh-CN"/>
        </w:rPr>
      </w:pPr>
      <w:r>
        <w:rPr>
          <w:rFonts w:hint="eastAsia"/>
          <w:b/>
          <w:sz w:val="21"/>
          <w:szCs w:val="22"/>
          <w:lang w:val="en-US" w:eastAsia="zh-CN"/>
        </w:rPr>
        <w:t>Proposal 3  The maximum TBS value should include the sum of TBS(s) of all PDSCH(s) in a slot.</w:t>
      </w:r>
    </w:p>
    <w:p>
      <w:pPr>
        <w:ind w:left="1265" w:hanging="1265" w:hangingChars="600"/>
        <w:jc w:val="left"/>
        <w:rPr>
          <w:rFonts w:hint="eastAsia"/>
          <w:b/>
          <w:sz w:val="21"/>
          <w:szCs w:val="22"/>
          <w:lang w:val="en-US" w:eastAsia="zh-CN"/>
        </w:rPr>
      </w:pPr>
      <w:r>
        <w:rPr>
          <w:rFonts w:hint="eastAsia"/>
          <w:b/>
          <w:sz w:val="21"/>
          <w:szCs w:val="22"/>
          <w:lang w:val="en-US" w:eastAsia="zh-CN"/>
        </w:rPr>
        <w:t>Proposal 4  It is recommended to set a new MCS table for R18 Redcap UE to meet peak rate</w:t>
      </w:r>
    </w:p>
    <w:p>
      <w:pPr>
        <w:jc w:val="left"/>
        <w:rPr>
          <w:rFonts w:hint="eastAsia"/>
          <w:b/>
          <w:sz w:val="21"/>
          <w:szCs w:val="22"/>
          <w:lang w:val="en-US" w:eastAsia="zh-CN"/>
        </w:rPr>
      </w:pPr>
      <w:r>
        <w:rPr>
          <w:rFonts w:hint="eastAsia"/>
          <w:b/>
          <w:sz w:val="21"/>
          <w:szCs w:val="22"/>
          <w:lang w:val="en-US" w:eastAsia="zh-CN"/>
        </w:rPr>
        <w:t>requirements.</w:t>
      </w:r>
    </w:p>
    <w:p>
      <w:pPr>
        <w:jc w:val="both"/>
        <w:rPr>
          <w:rFonts w:hint="eastAsia"/>
          <w:b/>
          <w:sz w:val="21"/>
          <w:szCs w:val="22"/>
          <w:lang w:val="en-US" w:eastAsia="zh-CN"/>
        </w:rPr>
      </w:pPr>
      <w:r>
        <w:rPr>
          <w:rFonts w:hint="eastAsia"/>
          <w:b/>
          <w:sz w:val="21"/>
          <w:szCs w:val="22"/>
          <w:lang w:val="en-US" w:eastAsia="zh-CN"/>
        </w:rPr>
        <w:t>Proposal 5  If the UE processing time N1 and N2 are relaxed, the value range of K1 and the value of K2 corresponding to the default TDRA table need to be adjusted.</w:t>
      </w:r>
    </w:p>
    <w:p>
      <w:pPr>
        <w:jc w:val="both"/>
        <w:rPr>
          <w:rFonts w:hint="default"/>
          <w:b/>
          <w:sz w:val="21"/>
          <w:szCs w:val="22"/>
          <w:lang w:val="en-US" w:eastAsia="zh-CN"/>
        </w:rPr>
      </w:pPr>
      <w:r>
        <w:rPr>
          <w:rFonts w:hint="eastAsia"/>
          <w:b/>
          <w:sz w:val="21"/>
          <w:szCs w:val="22"/>
          <w:lang w:val="en-US" w:eastAsia="zh-CN"/>
        </w:rPr>
        <w:t>Proposal 6  It is recommended to set new UE processing capability tables with new N1 and N2 values.</w:t>
      </w:r>
    </w:p>
    <w:p>
      <w:pPr>
        <w:pStyle w:val="2"/>
        <w:overflowPunct w:val="0"/>
        <w:autoSpaceDE w:val="0"/>
        <w:autoSpaceDN w:val="0"/>
        <w:adjustRightInd w:val="0"/>
        <w:spacing w:after="180"/>
        <w:ind w:left="1134" w:hanging="1134"/>
        <w:textAlignment w:val="baseline"/>
        <w:rPr>
          <w:rFonts w:ascii="Arial" w:hAnsi="Arial" w:eastAsia="宋体" w:cs="Times New Roman"/>
          <w:b w:val="0"/>
          <w:bCs w:val="0"/>
          <w:kern w:val="0"/>
          <w:sz w:val="32"/>
          <w:szCs w:val="32"/>
          <w:lang w:val="en-US" w:eastAsia="zh-CN" w:bidi="ar-SA"/>
        </w:rPr>
      </w:pPr>
      <w:r>
        <w:rPr>
          <w:rFonts w:ascii="Arial" w:hAnsi="Arial" w:eastAsia="宋体" w:cs="Times New Roman"/>
          <w:b w:val="0"/>
          <w:bCs w:val="0"/>
          <w:kern w:val="0"/>
          <w:sz w:val="32"/>
          <w:szCs w:val="32"/>
          <w:lang w:val="en-US" w:eastAsia="zh-CN" w:bidi="ar-SA"/>
        </w:rPr>
        <w:t>References</w:t>
      </w:r>
    </w:p>
    <w:p>
      <w:pPr>
        <w:pStyle w:val="18"/>
        <w:numPr>
          <w:ilvl w:val="0"/>
          <w:numId w:val="11"/>
        </w:numPr>
        <w:ind w:leftChars="0"/>
        <w:rPr>
          <w:rFonts w:ascii="Times New Roman" w:hAnsi="Times New Roman"/>
          <w:lang w:val="zh-CN" w:eastAsia="zh-CN"/>
        </w:rPr>
      </w:pPr>
      <w:r>
        <w:rPr>
          <w:rFonts w:ascii="Times New Roman" w:hAnsi="Times New Roman"/>
          <w:sz w:val="20"/>
          <w:lang w:val="en-US"/>
        </w:rPr>
        <w:t>Draft Report of 3GPP TSG RAN WG1 #109-e v0.3.0</w:t>
      </w:r>
    </w:p>
    <w:p>
      <w:pPr>
        <w:rPr>
          <w:lang w:eastAsia="zh-CN"/>
        </w:rPr>
      </w:pPr>
    </w:p>
    <w:p/>
    <w:sectPr>
      <w:headerReference r:id="rId3"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A977BBD"/>
    <w:multiLevelType w:val="multilevel"/>
    <w:tmpl w:val="0A977B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7C922BD"/>
    <w:multiLevelType w:val="multilevel"/>
    <w:tmpl w:val="17C922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B87C0B"/>
    <w:multiLevelType w:val="multilevel"/>
    <w:tmpl w:val="20B87C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310" w:hanging="510"/>
      </w:pPr>
      <w:rPr>
        <w:rFonts w:hint="default" w:ascii="Times New Roman" w:hAnsi="Times New Roman" w:eastAsia="Batang" w:cs="Times New Roman"/>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4C65C11"/>
    <w:multiLevelType w:val="multilevel"/>
    <w:tmpl w:val="34C65C11"/>
    <w:lvl w:ilvl="0" w:tentative="0">
      <w:start w:val="1"/>
      <w:numFmt w:val="bullet"/>
      <w:lvlText w:val=""/>
      <w:lvlJc w:val="left"/>
      <w:pPr>
        <w:tabs>
          <w:tab w:val="left" w:pos="720"/>
        </w:tabs>
        <w:ind w:left="720" w:hanging="360"/>
      </w:pPr>
      <w:rPr>
        <w:rFonts w:hint="default" w:ascii="Symbol" w:hAnsi="Symbol"/>
        <w:sz w:val="20"/>
      </w:rPr>
    </w:lvl>
    <w:lvl w:ilvl="1" w:tentative="0">
      <w:start w:val="0"/>
      <w:numFmt w:val="bullet"/>
      <w:lvlText w:val=""/>
      <w:lvlJc w:val="left"/>
      <w:pPr>
        <w:tabs>
          <w:tab w:val="left" w:pos="1440"/>
        </w:tabs>
        <w:ind w:left="1440" w:hanging="360"/>
      </w:pPr>
      <w:rPr>
        <w:rFonts w:hint="default" w:ascii="Symbol" w:hAnsi="Symbol"/>
        <w:sz w:val="20"/>
      </w:rPr>
    </w:lvl>
    <w:lvl w:ilvl="2" w:tentative="0">
      <w:start w:val="0"/>
      <w:numFmt w:val="bullet"/>
      <w:lvlText w:val=""/>
      <w:lvlJc w:val="left"/>
      <w:pPr>
        <w:tabs>
          <w:tab w:val="left" w:pos="2160"/>
        </w:tabs>
        <w:ind w:left="2160" w:hanging="360"/>
      </w:pPr>
      <w:rPr>
        <w:rFonts w:hint="default" w:ascii="Symbol" w:hAnsi="Symbol"/>
        <w:sz w:val="20"/>
      </w:rPr>
    </w:lvl>
    <w:lvl w:ilvl="3" w:tentative="0">
      <w:start w:val="0"/>
      <w:numFmt w:val="bullet"/>
      <w:lvlText w:val=""/>
      <w:lvlJc w:val="left"/>
      <w:pPr>
        <w:tabs>
          <w:tab w:val="left" w:pos="2880"/>
        </w:tabs>
        <w:ind w:left="2880" w:hanging="360"/>
      </w:pPr>
      <w:rPr>
        <w:rFonts w:hint="default" w:ascii="Symbol" w:hAnsi="Symbol"/>
        <w:sz w:val="20"/>
      </w:rPr>
    </w:lvl>
    <w:lvl w:ilvl="4" w:tentative="0">
      <w:start w:val="0"/>
      <w:numFmt w:val="bullet"/>
      <w:lvlText w:val=""/>
      <w:lvlJc w:val="left"/>
      <w:pPr>
        <w:tabs>
          <w:tab w:val="left" w:pos="3600"/>
        </w:tabs>
        <w:ind w:left="3600" w:hanging="360"/>
      </w:pPr>
      <w:rPr>
        <w:rFonts w:hint="default" w:ascii="Symbol" w:hAnsi="Symbol"/>
        <w:sz w:val="20"/>
      </w:rPr>
    </w:lvl>
    <w:lvl w:ilvl="5" w:tentative="0">
      <w:start w:val="0"/>
      <w:numFmt w:val="bullet"/>
      <w:lvlText w:val=""/>
      <w:lvlJc w:val="left"/>
      <w:pPr>
        <w:tabs>
          <w:tab w:val="left" w:pos="4320"/>
        </w:tabs>
        <w:ind w:left="4320" w:hanging="360"/>
      </w:pPr>
      <w:rPr>
        <w:rFonts w:hint="default" w:ascii="Symbol" w:hAnsi="Symbol"/>
        <w:sz w:val="20"/>
      </w:rPr>
    </w:lvl>
    <w:lvl w:ilvl="6" w:tentative="0">
      <w:start w:val="0"/>
      <w:numFmt w:val="bullet"/>
      <w:lvlText w:val=""/>
      <w:lvlJc w:val="left"/>
      <w:pPr>
        <w:tabs>
          <w:tab w:val="left" w:pos="5040"/>
        </w:tabs>
        <w:ind w:left="5040" w:hanging="360"/>
      </w:pPr>
      <w:rPr>
        <w:rFonts w:hint="default" w:ascii="Symbol" w:hAnsi="Symbol"/>
        <w:sz w:val="20"/>
      </w:rPr>
    </w:lvl>
    <w:lvl w:ilvl="7" w:tentative="0">
      <w:start w:val="0"/>
      <w:numFmt w:val="bullet"/>
      <w:lvlText w:val=""/>
      <w:lvlJc w:val="left"/>
      <w:pPr>
        <w:tabs>
          <w:tab w:val="left" w:pos="5760"/>
        </w:tabs>
        <w:ind w:left="5760" w:hanging="360"/>
      </w:pPr>
      <w:rPr>
        <w:rFonts w:hint="default" w:ascii="Symbol" w:hAnsi="Symbol"/>
        <w:sz w:val="20"/>
      </w:rPr>
    </w:lvl>
    <w:lvl w:ilvl="8" w:tentative="0">
      <w:start w:val="0"/>
      <w:numFmt w:val="bullet"/>
      <w:lvlText w:val=""/>
      <w:lvlJc w:val="left"/>
      <w:pPr>
        <w:tabs>
          <w:tab w:val="left" w:pos="6480"/>
        </w:tabs>
        <w:ind w:left="6480" w:hanging="360"/>
      </w:pPr>
      <w:rPr>
        <w:rFonts w:hint="default" w:ascii="Symbol" w:hAnsi="Symbol"/>
        <w:sz w:val="20"/>
      </w:rPr>
    </w:lvl>
  </w:abstractNum>
  <w:abstractNum w:abstractNumId="5">
    <w:nsid w:val="369824AF"/>
    <w:multiLevelType w:val="multilevel"/>
    <w:tmpl w:val="369824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6B1436C"/>
    <w:multiLevelType w:val="multilevel"/>
    <w:tmpl w:val="46B1436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556B27B6"/>
    <w:multiLevelType w:val="multilevel"/>
    <w:tmpl w:val="556B27B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CCF5E73"/>
    <w:multiLevelType w:val="multilevel"/>
    <w:tmpl w:val="7CCF5E73"/>
    <w:lvl w:ilvl="0" w:tentative="0">
      <w:start w:val="1"/>
      <w:numFmt w:val="bullet"/>
      <w:lvlText w:val=""/>
      <w:lvlJc w:val="left"/>
      <w:pPr>
        <w:tabs>
          <w:tab w:val="left" w:pos="720"/>
        </w:tabs>
        <w:ind w:left="720" w:hanging="360"/>
      </w:pPr>
      <w:rPr>
        <w:rFonts w:hint="default" w:ascii="Symbol" w:hAnsi="Symbol"/>
        <w:sz w:val="20"/>
      </w:rPr>
    </w:lvl>
    <w:lvl w:ilvl="1" w:tentative="0">
      <w:start w:val="0"/>
      <w:numFmt w:val="bullet"/>
      <w:lvlText w:val="o"/>
      <w:lvlJc w:val="left"/>
      <w:pPr>
        <w:tabs>
          <w:tab w:val="left" w:pos="1440"/>
        </w:tabs>
        <w:ind w:left="1440" w:hanging="360"/>
      </w:pPr>
      <w:rPr>
        <w:rFonts w:hint="default" w:ascii="Courier New" w:hAnsi="Courier New"/>
        <w:sz w:val="20"/>
      </w:rPr>
    </w:lvl>
    <w:lvl w:ilvl="2" w:tentative="0">
      <w:start w:val="0"/>
      <w:numFmt w:val="bullet"/>
      <w:lvlText w:val=""/>
      <w:lvlJc w:val="left"/>
      <w:pPr>
        <w:tabs>
          <w:tab w:val="left" w:pos="2160"/>
        </w:tabs>
        <w:ind w:left="2160" w:hanging="360"/>
      </w:pPr>
      <w:rPr>
        <w:rFonts w:hint="default" w:ascii="Symbol" w:hAnsi="Symbol"/>
        <w:sz w:val="20"/>
      </w:rPr>
    </w:lvl>
    <w:lvl w:ilvl="3" w:tentative="0">
      <w:start w:val="0"/>
      <w:numFmt w:val="bullet"/>
      <w:lvlText w:val=""/>
      <w:lvlJc w:val="left"/>
      <w:pPr>
        <w:tabs>
          <w:tab w:val="left" w:pos="2880"/>
        </w:tabs>
        <w:ind w:left="2880" w:hanging="360"/>
      </w:pPr>
      <w:rPr>
        <w:rFonts w:hint="default" w:ascii="Symbol" w:hAnsi="Symbol"/>
        <w:sz w:val="20"/>
      </w:rPr>
    </w:lvl>
    <w:lvl w:ilvl="4" w:tentative="0">
      <w:start w:val="0"/>
      <w:numFmt w:val="bullet"/>
      <w:lvlText w:val=""/>
      <w:lvlJc w:val="left"/>
      <w:pPr>
        <w:tabs>
          <w:tab w:val="left" w:pos="3600"/>
        </w:tabs>
        <w:ind w:left="3600" w:hanging="360"/>
      </w:pPr>
      <w:rPr>
        <w:rFonts w:hint="default" w:ascii="Symbol" w:hAnsi="Symbol"/>
        <w:sz w:val="20"/>
      </w:rPr>
    </w:lvl>
    <w:lvl w:ilvl="5" w:tentative="0">
      <w:start w:val="0"/>
      <w:numFmt w:val="bullet"/>
      <w:lvlText w:val=""/>
      <w:lvlJc w:val="left"/>
      <w:pPr>
        <w:tabs>
          <w:tab w:val="left" w:pos="4320"/>
        </w:tabs>
        <w:ind w:left="4320" w:hanging="360"/>
      </w:pPr>
      <w:rPr>
        <w:rFonts w:hint="default" w:ascii="Symbol" w:hAnsi="Symbol"/>
        <w:sz w:val="20"/>
      </w:rPr>
    </w:lvl>
    <w:lvl w:ilvl="6" w:tentative="0">
      <w:start w:val="0"/>
      <w:numFmt w:val="bullet"/>
      <w:lvlText w:val=""/>
      <w:lvlJc w:val="left"/>
      <w:pPr>
        <w:tabs>
          <w:tab w:val="left" w:pos="5040"/>
        </w:tabs>
        <w:ind w:left="5040" w:hanging="360"/>
      </w:pPr>
      <w:rPr>
        <w:rFonts w:hint="default" w:ascii="Symbol" w:hAnsi="Symbol"/>
        <w:sz w:val="20"/>
      </w:rPr>
    </w:lvl>
    <w:lvl w:ilvl="7" w:tentative="0">
      <w:start w:val="0"/>
      <w:numFmt w:val="bullet"/>
      <w:lvlText w:val=""/>
      <w:lvlJc w:val="left"/>
      <w:pPr>
        <w:tabs>
          <w:tab w:val="left" w:pos="5760"/>
        </w:tabs>
        <w:ind w:left="5760" w:hanging="360"/>
      </w:pPr>
      <w:rPr>
        <w:rFonts w:hint="default" w:ascii="Symbol" w:hAnsi="Symbol"/>
        <w:sz w:val="20"/>
      </w:rPr>
    </w:lvl>
    <w:lvl w:ilvl="8" w:tentative="0">
      <w:start w:val="0"/>
      <w:numFmt w:val="bullet"/>
      <w:lvlText w:val=""/>
      <w:lvlJc w:val="left"/>
      <w:pPr>
        <w:tabs>
          <w:tab w:val="left" w:pos="6480"/>
        </w:tabs>
        <w:ind w:left="6480" w:hanging="360"/>
      </w:pPr>
      <w:rPr>
        <w:rFonts w:hint="default" w:ascii="Symbol" w:hAnsi="Symbol"/>
        <w:sz w:val="20"/>
      </w:rPr>
    </w:lvl>
  </w:abstractNum>
  <w:abstractNum w:abstractNumId="10">
    <w:nsid w:val="7CFA655F"/>
    <w:multiLevelType w:val="multilevel"/>
    <w:tmpl w:val="7CFA655F"/>
    <w:lvl w:ilvl="0" w:tentative="0">
      <w:start w:val="1"/>
      <w:numFmt w:val="bullet"/>
      <w:lvlText w:val=""/>
      <w:lvlJc w:val="left"/>
      <w:pPr>
        <w:tabs>
          <w:tab w:val="left" w:pos="720"/>
        </w:tabs>
        <w:ind w:left="720" w:hanging="360"/>
      </w:pPr>
      <w:rPr>
        <w:rFonts w:hint="default" w:ascii="Symbol" w:hAnsi="Symbol"/>
        <w:sz w:val="20"/>
      </w:rPr>
    </w:lvl>
    <w:lvl w:ilvl="1" w:tentative="0">
      <w:start w:val="0"/>
      <w:numFmt w:val="bullet"/>
      <w:lvlText w:val="o"/>
      <w:lvlJc w:val="left"/>
      <w:pPr>
        <w:tabs>
          <w:tab w:val="left" w:pos="1440"/>
        </w:tabs>
        <w:ind w:left="1440" w:hanging="360"/>
      </w:pPr>
      <w:rPr>
        <w:rFonts w:hint="default" w:ascii="Courier New" w:hAnsi="Courier New"/>
        <w:sz w:val="20"/>
      </w:rPr>
    </w:lvl>
    <w:lvl w:ilvl="2" w:tentative="0">
      <w:start w:val="0"/>
      <w:numFmt w:val="bullet"/>
      <w:lvlText w:val=""/>
      <w:lvlJc w:val="left"/>
      <w:pPr>
        <w:tabs>
          <w:tab w:val="left" w:pos="2160"/>
        </w:tabs>
        <w:ind w:left="2160" w:hanging="360"/>
      </w:pPr>
      <w:rPr>
        <w:rFonts w:hint="default" w:ascii="Symbol" w:hAnsi="Symbol"/>
        <w:sz w:val="20"/>
      </w:rPr>
    </w:lvl>
    <w:lvl w:ilvl="3" w:tentative="0">
      <w:start w:val="0"/>
      <w:numFmt w:val="bullet"/>
      <w:lvlText w:val=""/>
      <w:lvlJc w:val="left"/>
      <w:pPr>
        <w:tabs>
          <w:tab w:val="left" w:pos="2880"/>
        </w:tabs>
        <w:ind w:left="2880" w:hanging="360"/>
      </w:pPr>
      <w:rPr>
        <w:rFonts w:hint="default" w:ascii="Symbol" w:hAnsi="Symbol"/>
        <w:sz w:val="20"/>
      </w:rPr>
    </w:lvl>
    <w:lvl w:ilvl="4" w:tentative="0">
      <w:start w:val="0"/>
      <w:numFmt w:val="bullet"/>
      <w:lvlText w:val=""/>
      <w:lvlJc w:val="left"/>
      <w:pPr>
        <w:tabs>
          <w:tab w:val="left" w:pos="3600"/>
        </w:tabs>
        <w:ind w:left="3600" w:hanging="360"/>
      </w:pPr>
      <w:rPr>
        <w:rFonts w:hint="default" w:ascii="Symbol" w:hAnsi="Symbol"/>
        <w:sz w:val="20"/>
      </w:rPr>
    </w:lvl>
    <w:lvl w:ilvl="5" w:tentative="0">
      <w:start w:val="0"/>
      <w:numFmt w:val="bullet"/>
      <w:lvlText w:val=""/>
      <w:lvlJc w:val="left"/>
      <w:pPr>
        <w:tabs>
          <w:tab w:val="left" w:pos="4320"/>
        </w:tabs>
        <w:ind w:left="4320" w:hanging="360"/>
      </w:pPr>
      <w:rPr>
        <w:rFonts w:hint="default" w:ascii="Symbol" w:hAnsi="Symbol"/>
        <w:sz w:val="20"/>
      </w:rPr>
    </w:lvl>
    <w:lvl w:ilvl="6" w:tentative="0">
      <w:start w:val="0"/>
      <w:numFmt w:val="bullet"/>
      <w:lvlText w:val=""/>
      <w:lvlJc w:val="left"/>
      <w:pPr>
        <w:tabs>
          <w:tab w:val="left" w:pos="5040"/>
        </w:tabs>
        <w:ind w:left="5040" w:hanging="360"/>
      </w:pPr>
      <w:rPr>
        <w:rFonts w:hint="default" w:ascii="Symbol" w:hAnsi="Symbol"/>
        <w:sz w:val="20"/>
      </w:rPr>
    </w:lvl>
    <w:lvl w:ilvl="7" w:tentative="0">
      <w:start w:val="0"/>
      <w:numFmt w:val="bullet"/>
      <w:lvlText w:val=""/>
      <w:lvlJc w:val="left"/>
      <w:pPr>
        <w:tabs>
          <w:tab w:val="left" w:pos="5760"/>
        </w:tabs>
        <w:ind w:left="5760" w:hanging="360"/>
      </w:pPr>
      <w:rPr>
        <w:rFonts w:hint="default" w:ascii="Symbol" w:hAnsi="Symbol"/>
        <w:sz w:val="20"/>
      </w:rPr>
    </w:lvl>
    <w:lvl w:ilvl="8" w:tentative="0">
      <w:start w:val="0"/>
      <w:numFmt w:val="bullet"/>
      <w:lvlText w:val=""/>
      <w:lvlJc w:val="left"/>
      <w:pPr>
        <w:tabs>
          <w:tab w:val="left" w:pos="6480"/>
        </w:tabs>
        <w:ind w:left="6480" w:hanging="360"/>
      </w:pPr>
      <w:rPr>
        <w:rFonts w:hint="default" w:ascii="Symbol" w:hAnsi="Symbol"/>
        <w:sz w:val="20"/>
      </w:rPr>
    </w:lvl>
  </w:abstractNum>
  <w:num w:numId="1">
    <w:abstractNumId w:val="0"/>
  </w:num>
  <w:num w:numId="2">
    <w:abstractNumId w:val="4"/>
  </w:num>
  <w:num w:numId="3">
    <w:abstractNumId w:val="10"/>
  </w:num>
  <w:num w:numId="4">
    <w:abstractNumId w:val="8"/>
  </w:num>
  <w:num w:numId="5">
    <w:abstractNumId w:val="9"/>
  </w:num>
  <w:num w:numId="6">
    <w:abstractNumId w:val="1"/>
  </w:num>
  <w:num w:numId="7">
    <w:abstractNumId w:val="5"/>
  </w:num>
  <w:num w:numId="8">
    <w:abstractNumId w:val="7"/>
  </w:num>
  <w:num w:numId="9">
    <w:abstractNumId w:val="3"/>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C43F2"/>
    <w:rsid w:val="02821545"/>
    <w:rsid w:val="02BA26ED"/>
    <w:rsid w:val="03292219"/>
    <w:rsid w:val="03333EBB"/>
    <w:rsid w:val="039242F7"/>
    <w:rsid w:val="03C91DEF"/>
    <w:rsid w:val="046105A7"/>
    <w:rsid w:val="05BE0571"/>
    <w:rsid w:val="062D641E"/>
    <w:rsid w:val="06467E10"/>
    <w:rsid w:val="068B669D"/>
    <w:rsid w:val="06DB01C7"/>
    <w:rsid w:val="07412138"/>
    <w:rsid w:val="075014AD"/>
    <w:rsid w:val="079743E7"/>
    <w:rsid w:val="07A03B2F"/>
    <w:rsid w:val="09386CEF"/>
    <w:rsid w:val="095E2632"/>
    <w:rsid w:val="09891C4A"/>
    <w:rsid w:val="09C11875"/>
    <w:rsid w:val="0A940E9D"/>
    <w:rsid w:val="0AB5350C"/>
    <w:rsid w:val="0AC8754E"/>
    <w:rsid w:val="0AD04CB6"/>
    <w:rsid w:val="0B4F2D08"/>
    <w:rsid w:val="0B5645CC"/>
    <w:rsid w:val="0B5A0448"/>
    <w:rsid w:val="0B7E082A"/>
    <w:rsid w:val="0C6B3E4C"/>
    <w:rsid w:val="0C7A3E69"/>
    <w:rsid w:val="0D8008CF"/>
    <w:rsid w:val="0D9F3231"/>
    <w:rsid w:val="0DFE15A3"/>
    <w:rsid w:val="0E4D44EF"/>
    <w:rsid w:val="0EF85813"/>
    <w:rsid w:val="0F0B0B79"/>
    <w:rsid w:val="0FD746B6"/>
    <w:rsid w:val="0FD94151"/>
    <w:rsid w:val="10931CC7"/>
    <w:rsid w:val="10F51AD3"/>
    <w:rsid w:val="123D56D9"/>
    <w:rsid w:val="12960691"/>
    <w:rsid w:val="13F554B1"/>
    <w:rsid w:val="145C6F22"/>
    <w:rsid w:val="14C53B07"/>
    <w:rsid w:val="15682461"/>
    <w:rsid w:val="15AD3A82"/>
    <w:rsid w:val="15CE7E95"/>
    <w:rsid w:val="17326BFF"/>
    <w:rsid w:val="173340E6"/>
    <w:rsid w:val="17846D8A"/>
    <w:rsid w:val="183D7BCD"/>
    <w:rsid w:val="183E7952"/>
    <w:rsid w:val="18B21AD6"/>
    <w:rsid w:val="18EA08C6"/>
    <w:rsid w:val="19286D8E"/>
    <w:rsid w:val="19F743DF"/>
    <w:rsid w:val="1A942215"/>
    <w:rsid w:val="1AE945CD"/>
    <w:rsid w:val="1BED197A"/>
    <w:rsid w:val="1D176197"/>
    <w:rsid w:val="1D3A2CBF"/>
    <w:rsid w:val="1D4E0DE6"/>
    <w:rsid w:val="1D5F3C1E"/>
    <w:rsid w:val="1D786CA0"/>
    <w:rsid w:val="1F0868CC"/>
    <w:rsid w:val="1F1402D1"/>
    <w:rsid w:val="1F713F17"/>
    <w:rsid w:val="1FBF7ED9"/>
    <w:rsid w:val="20273EC1"/>
    <w:rsid w:val="203E1579"/>
    <w:rsid w:val="21486D50"/>
    <w:rsid w:val="21C71C6C"/>
    <w:rsid w:val="21F51F69"/>
    <w:rsid w:val="226804C4"/>
    <w:rsid w:val="22EE7297"/>
    <w:rsid w:val="22FD69AE"/>
    <w:rsid w:val="230B5C6A"/>
    <w:rsid w:val="23543698"/>
    <w:rsid w:val="2378316C"/>
    <w:rsid w:val="23AB02F8"/>
    <w:rsid w:val="24222D39"/>
    <w:rsid w:val="24770AA7"/>
    <w:rsid w:val="249C66CB"/>
    <w:rsid w:val="259F0F36"/>
    <w:rsid w:val="25BF7538"/>
    <w:rsid w:val="25E25F7B"/>
    <w:rsid w:val="26014383"/>
    <w:rsid w:val="26025AC5"/>
    <w:rsid w:val="265817DB"/>
    <w:rsid w:val="26685E4E"/>
    <w:rsid w:val="26710598"/>
    <w:rsid w:val="26D50A2C"/>
    <w:rsid w:val="28C65A54"/>
    <w:rsid w:val="29AA010A"/>
    <w:rsid w:val="2AEB718E"/>
    <w:rsid w:val="2C153FA1"/>
    <w:rsid w:val="2C1A370D"/>
    <w:rsid w:val="303F6316"/>
    <w:rsid w:val="30A72E79"/>
    <w:rsid w:val="31182819"/>
    <w:rsid w:val="32395E90"/>
    <w:rsid w:val="329A7A4B"/>
    <w:rsid w:val="33D577B5"/>
    <w:rsid w:val="355F746B"/>
    <w:rsid w:val="35B567A6"/>
    <w:rsid w:val="35B873B1"/>
    <w:rsid w:val="364C2EB6"/>
    <w:rsid w:val="36852913"/>
    <w:rsid w:val="37467121"/>
    <w:rsid w:val="37A2030E"/>
    <w:rsid w:val="38CB386D"/>
    <w:rsid w:val="38D146E8"/>
    <w:rsid w:val="39ED44B5"/>
    <w:rsid w:val="3DD3111B"/>
    <w:rsid w:val="3E5F4689"/>
    <w:rsid w:val="3FC12F51"/>
    <w:rsid w:val="40A53650"/>
    <w:rsid w:val="430A058D"/>
    <w:rsid w:val="43993D8E"/>
    <w:rsid w:val="43E56B7B"/>
    <w:rsid w:val="449700C1"/>
    <w:rsid w:val="44DF4AD3"/>
    <w:rsid w:val="45806EC3"/>
    <w:rsid w:val="458A5B63"/>
    <w:rsid w:val="46686C9E"/>
    <w:rsid w:val="47341CB9"/>
    <w:rsid w:val="476C4C8D"/>
    <w:rsid w:val="478F75F0"/>
    <w:rsid w:val="48AF1F07"/>
    <w:rsid w:val="48B225B7"/>
    <w:rsid w:val="48B64E60"/>
    <w:rsid w:val="48F12CEE"/>
    <w:rsid w:val="498558F4"/>
    <w:rsid w:val="4A6F7A71"/>
    <w:rsid w:val="4B453C14"/>
    <w:rsid w:val="4BB46FD1"/>
    <w:rsid w:val="4D121D34"/>
    <w:rsid w:val="4D7A3398"/>
    <w:rsid w:val="4E897B66"/>
    <w:rsid w:val="4EEF51A5"/>
    <w:rsid w:val="4EF33F37"/>
    <w:rsid w:val="4F29663B"/>
    <w:rsid w:val="4F2F631B"/>
    <w:rsid w:val="4F3C0010"/>
    <w:rsid w:val="4F687927"/>
    <w:rsid w:val="4F706F0D"/>
    <w:rsid w:val="508F4388"/>
    <w:rsid w:val="517D50F1"/>
    <w:rsid w:val="528A181C"/>
    <w:rsid w:val="544A7794"/>
    <w:rsid w:val="544F0576"/>
    <w:rsid w:val="559B138A"/>
    <w:rsid w:val="560A4E69"/>
    <w:rsid w:val="56132672"/>
    <w:rsid w:val="575514CD"/>
    <w:rsid w:val="58036524"/>
    <w:rsid w:val="586E14BF"/>
    <w:rsid w:val="58AD7D6B"/>
    <w:rsid w:val="595B14B9"/>
    <w:rsid w:val="5ABC3E58"/>
    <w:rsid w:val="5C1839E9"/>
    <w:rsid w:val="5CE31FB3"/>
    <w:rsid w:val="5D702D81"/>
    <w:rsid w:val="5E5830B6"/>
    <w:rsid w:val="5ECA6000"/>
    <w:rsid w:val="5EE15B23"/>
    <w:rsid w:val="5F8D2114"/>
    <w:rsid w:val="5F946831"/>
    <w:rsid w:val="61A907DA"/>
    <w:rsid w:val="61BE4069"/>
    <w:rsid w:val="625957CD"/>
    <w:rsid w:val="62C87348"/>
    <w:rsid w:val="62EF34B9"/>
    <w:rsid w:val="62FF1157"/>
    <w:rsid w:val="63E31B13"/>
    <w:rsid w:val="644C405D"/>
    <w:rsid w:val="65B87C60"/>
    <w:rsid w:val="65CC54F7"/>
    <w:rsid w:val="68012776"/>
    <w:rsid w:val="6B20701A"/>
    <w:rsid w:val="6C397FC7"/>
    <w:rsid w:val="6CE978CE"/>
    <w:rsid w:val="6D561817"/>
    <w:rsid w:val="6E8C0BE2"/>
    <w:rsid w:val="6EB26818"/>
    <w:rsid w:val="6EB73A9A"/>
    <w:rsid w:val="6EDA6A7D"/>
    <w:rsid w:val="70D04FAA"/>
    <w:rsid w:val="71085217"/>
    <w:rsid w:val="712C7C8C"/>
    <w:rsid w:val="71487ACE"/>
    <w:rsid w:val="745F6C7C"/>
    <w:rsid w:val="74A55024"/>
    <w:rsid w:val="750072B4"/>
    <w:rsid w:val="76732C9D"/>
    <w:rsid w:val="769F2D64"/>
    <w:rsid w:val="778F795D"/>
    <w:rsid w:val="7805161F"/>
    <w:rsid w:val="798B53DB"/>
    <w:rsid w:val="79E6728C"/>
    <w:rsid w:val="7A442306"/>
    <w:rsid w:val="7B315C9C"/>
    <w:rsid w:val="7B585E3C"/>
    <w:rsid w:val="7B7E06C4"/>
    <w:rsid w:val="7BC703CB"/>
    <w:rsid w:val="7BFC5DC1"/>
    <w:rsid w:val="7C2524E2"/>
    <w:rsid w:val="7C585A30"/>
    <w:rsid w:val="7C7E29CD"/>
    <w:rsid w:val="7C815CBD"/>
    <w:rsid w:val="7C9877BF"/>
    <w:rsid w:val="7D564C1D"/>
    <w:rsid w:val="7F151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6">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table" w:styleId="15">
    <w:name w:val="Table Grid"/>
    <w:basedOn w:val="14"/>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7">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18">
    <w:name w:val="List Paragraph"/>
    <w:basedOn w:val="1"/>
    <w:qFormat/>
    <w:uiPriority w:val="34"/>
    <w:pPr>
      <w:spacing w:after="0"/>
      <w:ind w:left="840" w:leftChars="400" w:hanging="1440"/>
    </w:pPr>
    <w:rPr>
      <w:rFonts w:ascii="Times" w:hAnsi="Times" w:eastAsia="Batang"/>
      <w:szCs w:val="24"/>
    </w:rPr>
  </w:style>
  <w:style w:type="table" w:customStyle="1" w:styleId="19">
    <w:name w:val="Grid Table Light"/>
    <w:basedOn w:val="14"/>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paragraph" w:customStyle="1" w:styleId="20">
    <w:name w:val="TH"/>
    <w:basedOn w:val="1"/>
    <w:qFormat/>
    <w:uiPriority w:val="0"/>
    <w:pPr>
      <w:keepNext/>
      <w:keepLines/>
      <w:spacing w:before="60"/>
      <w:jc w:val="center"/>
    </w:pPr>
    <w:rPr>
      <w:rFonts w:ascii="Arial" w:hAnsi="Arial"/>
      <w:b/>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99"/>
    <w:pPr>
      <w:keepNext/>
      <w:keepLines/>
      <w:spacing w:after="0"/>
    </w:pPr>
    <w:rPr>
      <w:rFonts w:ascii="Arial" w:hAnsi="Arial"/>
      <w:sz w:val="18"/>
    </w:rPr>
  </w:style>
  <w:style w:type="paragraph" w:customStyle="1" w:styleId="24">
    <w:name w:val="B1"/>
    <w:basedOn w:val="1"/>
    <w:qFormat/>
    <w:uiPriority w:val="0"/>
    <w:pPr>
      <w:ind w:left="568" w:hanging="284"/>
    </w:pPr>
  </w:style>
  <w:style w:type="paragraph" w:customStyle="1" w:styleId="25">
    <w:name w:val="EQ"/>
    <w:basedOn w:val="1"/>
    <w:next w:val="1"/>
    <w:qFormat/>
    <w:uiPriority w:val="0"/>
    <w:pPr>
      <w:keepLines/>
      <w:tabs>
        <w:tab w:val="center" w:pos="4536"/>
        <w:tab w:val="right" w:pos="9072"/>
      </w:tabs>
    </w:pPr>
  </w:style>
  <w:style w:type="paragraph" w:customStyle="1" w:styleId="26">
    <w:name w:val="B2"/>
    <w:basedOn w:val="12"/>
    <w:qFormat/>
    <w:uiPriority w:val="0"/>
  </w:style>
  <w:style w:type="paragraph" w:customStyle="1" w:styleId="27">
    <w:name w:val="NO"/>
    <w:basedOn w:val="1"/>
    <w:qFormat/>
    <w:uiPriority w:val="0"/>
    <w:pPr>
      <w:keepLines/>
      <w:ind w:left="1135" w:hanging="851"/>
    </w:pPr>
  </w:style>
  <w:style w:type="character" w:customStyle="1" w:styleId="28">
    <w:name w:val="fontstyle01"/>
    <w:basedOn w:val="16"/>
    <w:qFormat/>
    <w:uiPriority w:val="0"/>
    <w:rPr>
      <w:rFonts w:ascii="TimesNewRomanPS-ItalicMT" w:hAnsi="TimesNewRomanPS-ItalicMT" w:eastAsia="TimesNewRomanPS-ItalicMT" w:cs="TimesNewRomanPS-ItalicMT"/>
      <w:i/>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Users/cmcc/AppData/Roaming/Foxmail7/Temp-9192-20220519203036/Attach/image002(05-19-20-35-18)(1).png" TargetMode="External"/><Relationship Id="rId7" Type="http://schemas.openxmlformats.org/officeDocument/2006/relationships/image" Target="media/image2.png"/><Relationship Id="rId6" Type="http://schemas.openxmlformats.org/officeDocument/2006/relationships/image" Target="../../../Users/cmcc/AppData/Roaming/Foxmail7/Temp-9192-20220519203036/Attach/image001(05-19-20-35-18)(1).png" TargetMode="External"/><Relationship Id="rId5" Type="http://schemas.openxmlformats.org/officeDocument/2006/relationships/image" Target="media/image1.png"/><Relationship Id="rId4" Type="http://schemas.openxmlformats.org/officeDocument/2006/relationships/theme" Target="theme/theme1.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oleObject" Target="embeddings/oleObject13.bin"/><Relationship Id="rId33" Type="http://schemas.openxmlformats.org/officeDocument/2006/relationships/image" Target="media/image14.wmf"/><Relationship Id="rId32" Type="http://schemas.openxmlformats.org/officeDocument/2006/relationships/oleObject" Target="embeddings/oleObject12.bin"/><Relationship Id="rId31" Type="http://schemas.openxmlformats.org/officeDocument/2006/relationships/oleObject" Target="embeddings/oleObject11.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2.wmf"/><Relationship Id="rId27" Type="http://schemas.openxmlformats.org/officeDocument/2006/relationships/oleObject" Target="embeddings/oleObject9.bin"/><Relationship Id="rId26" Type="http://schemas.openxmlformats.org/officeDocument/2006/relationships/image" Target="media/image11.wmf"/><Relationship Id="rId25" Type="http://schemas.openxmlformats.org/officeDocument/2006/relationships/oleObject" Target="embeddings/oleObject8.bin"/><Relationship Id="rId24" Type="http://schemas.openxmlformats.org/officeDocument/2006/relationships/image" Target="media/image10.wmf"/><Relationship Id="rId23" Type="http://schemas.openxmlformats.org/officeDocument/2006/relationships/oleObject" Target="embeddings/oleObject7.bin"/><Relationship Id="rId22" Type="http://schemas.openxmlformats.org/officeDocument/2006/relationships/image" Target="media/image9.wmf"/><Relationship Id="rId21" Type="http://schemas.openxmlformats.org/officeDocument/2006/relationships/oleObject" Target="embeddings/oleObject6.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7.wmf"/><Relationship Id="rId17" Type="http://schemas.openxmlformats.org/officeDocument/2006/relationships/oleObject" Target="embeddings/oleObject4.bin"/><Relationship Id="rId16" Type="http://schemas.openxmlformats.org/officeDocument/2006/relationships/image" Target="media/image6.wmf"/><Relationship Id="rId15" Type="http://schemas.openxmlformats.org/officeDocument/2006/relationships/oleObject" Target="embeddings/oleObject3.bin"/><Relationship Id="rId14" Type="http://schemas.openxmlformats.org/officeDocument/2006/relationships/image" Target="media/image5.wmf"/><Relationship Id="rId13" Type="http://schemas.openxmlformats.org/officeDocument/2006/relationships/oleObject" Target="embeddings/oleObject2.bin"/><Relationship Id="rId12" Type="http://schemas.openxmlformats.org/officeDocument/2006/relationships/image" Target="media/image4.wmf"/><Relationship Id="rId11" Type="http://schemas.openxmlformats.org/officeDocument/2006/relationships/oleObject" Target="embeddings/oleObject1.bin"/><Relationship Id="rId10" Type="http://schemas.openxmlformats.org/officeDocument/2006/relationships/image" Target="../../../Users/cmcc/AppData/Roaming/Foxmail7/Temp-9192-20220519203036/Attach/image003(05-19-20-35-18)(1).png"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1838</Words>
  <Characters>9030</Characters>
  <Lines>0</Lines>
  <Paragraphs>0</Paragraphs>
  <TotalTime>74</TotalTime>
  <ScaleCrop>false</ScaleCrop>
  <LinksUpToDate>false</LinksUpToDate>
  <CharactersWithSpaces>10657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2022-08-12T08:15:04Z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